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A2" w:rsidRPr="006A4258" w:rsidRDefault="00AE6EA2" w:rsidP="00AE6EA2">
      <w:pPr>
        <w:spacing w:after="132"/>
        <w:ind w:left="370" w:right="9" w:hanging="370"/>
        <w:jc w:val="center"/>
        <w:rPr>
          <w:rFonts w:ascii="Arial" w:eastAsia="Arial" w:hAnsi="Arial" w:cs="Arial"/>
          <w:color w:val="C00000"/>
          <w:sz w:val="32"/>
          <w:szCs w:val="32"/>
          <w:lang w:eastAsia="en-GB"/>
        </w:rPr>
      </w:pPr>
      <w:r w:rsidRPr="006A4258">
        <w:rPr>
          <w:rFonts w:ascii="Arial" w:eastAsia="Arial" w:hAnsi="Arial" w:cs="Arial"/>
          <w:b/>
          <w:color w:val="C00000"/>
          <w:sz w:val="32"/>
          <w:szCs w:val="32"/>
          <w:lang w:eastAsia="en-GB"/>
        </w:rPr>
        <w:t>Volunteer Coordinator</w:t>
      </w:r>
    </w:p>
    <w:p w:rsidR="00AE6EA2" w:rsidRPr="006A4258" w:rsidRDefault="00AE6EA2" w:rsidP="00AE6EA2">
      <w:pPr>
        <w:spacing w:after="3" w:line="266" w:lineRule="auto"/>
        <w:ind w:left="370" w:right="14"/>
        <w:jc w:val="both"/>
        <w:rPr>
          <w:rFonts w:ascii="Arial" w:eastAsia="Arial" w:hAnsi="Arial" w:cs="Arial"/>
          <w:color w:val="000000"/>
          <w:sz w:val="24"/>
          <w:szCs w:val="24"/>
          <w:lang w:eastAsia="en-GB"/>
        </w:rPr>
      </w:pPr>
    </w:p>
    <w:p w:rsidR="00AE6EA2" w:rsidRPr="006A4258" w:rsidRDefault="00AE6EA2" w:rsidP="00AE6EA2">
      <w:pPr>
        <w:spacing w:after="3" w:line="266" w:lineRule="auto"/>
        <w:ind w:right="14"/>
        <w:jc w:val="both"/>
        <w:rPr>
          <w:rFonts w:ascii="Arial" w:eastAsia="Arial" w:hAnsi="Arial" w:cs="Arial"/>
          <w:color w:val="000000"/>
          <w:sz w:val="24"/>
          <w:szCs w:val="24"/>
          <w:lang w:eastAsia="en-GB"/>
        </w:rPr>
      </w:pPr>
      <w:r w:rsidRPr="006A4258">
        <w:rPr>
          <w:rFonts w:ascii="Arial" w:eastAsia="Arial" w:hAnsi="Arial" w:cs="Arial"/>
          <w:b/>
          <w:color w:val="000000"/>
          <w:sz w:val="24"/>
          <w:szCs w:val="24"/>
          <w:lang w:eastAsia="en-GB"/>
        </w:rPr>
        <w:t>Job Title</w:t>
      </w:r>
      <w:r w:rsidRPr="006A4258">
        <w:rPr>
          <w:rFonts w:ascii="Arial" w:eastAsia="Arial" w:hAnsi="Arial" w:cs="Arial"/>
          <w:color w:val="000000"/>
          <w:sz w:val="24"/>
          <w:szCs w:val="24"/>
          <w:lang w:eastAsia="en-GB"/>
        </w:rPr>
        <w:t>: Volunteer Coordinator</w:t>
      </w:r>
    </w:p>
    <w:p w:rsidR="00AE6EA2" w:rsidRPr="006A4258" w:rsidRDefault="00AE6EA2" w:rsidP="00AE6EA2">
      <w:pPr>
        <w:spacing w:after="3" w:line="266" w:lineRule="auto"/>
        <w:ind w:right="14"/>
        <w:jc w:val="both"/>
        <w:rPr>
          <w:rFonts w:ascii="Arial" w:eastAsia="Arial" w:hAnsi="Arial" w:cs="Arial"/>
          <w:color w:val="000000"/>
          <w:sz w:val="24"/>
          <w:szCs w:val="24"/>
          <w:lang w:eastAsia="en-GB"/>
        </w:rPr>
      </w:pPr>
      <w:r w:rsidRPr="006A4258">
        <w:rPr>
          <w:rFonts w:ascii="Arial" w:eastAsia="Arial" w:hAnsi="Arial" w:cs="Arial"/>
          <w:b/>
          <w:color w:val="000000"/>
          <w:sz w:val="24"/>
          <w:szCs w:val="24"/>
          <w:lang w:eastAsia="en-GB"/>
        </w:rPr>
        <w:t>Accountable to</w:t>
      </w:r>
      <w:r w:rsidRPr="006A4258">
        <w:rPr>
          <w:rFonts w:ascii="Arial" w:eastAsia="Arial" w:hAnsi="Arial" w:cs="Arial"/>
          <w:color w:val="000000"/>
          <w:sz w:val="24"/>
          <w:szCs w:val="24"/>
          <w:lang w:eastAsia="en-GB"/>
        </w:rPr>
        <w:t>: Chief Executive</w:t>
      </w:r>
    </w:p>
    <w:p w:rsidR="00AE6EA2" w:rsidRPr="006A4258" w:rsidRDefault="00AE6EA2" w:rsidP="00AE6EA2">
      <w:pPr>
        <w:spacing w:after="3" w:line="266" w:lineRule="auto"/>
        <w:ind w:right="14"/>
        <w:jc w:val="both"/>
        <w:rPr>
          <w:rFonts w:ascii="Arial" w:eastAsia="Arial" w:hAnsi="Arial" w:cs="Arial"/>
          <w:color w:val="000000"/>
          <w:sz w:val="24"/>
          <w:szCs w:val="24"/>
          <w:lang w:eastAsia="en-GB"/>
        </w:rPr>
      </w:pPr>
      <w:r w:rsidRPr="006A4258">
        <w:rPr>
          <w:rFonts w:ascii="Arial" w:eastAsia="Arial" w:hAnsi="Arial" w:cs="Arial"/>
          <w:b/>
          <w:color w:val="000000"/>
          <w:sz w:val="24"/>
          <w:szCs w:val="24"/>
          <w:lang w:eastAsia="en-GB"/>
        </w:rPr>
        <w:t xml:space="preserve">Responsible to: </w:t>
      </w:r>
      <w:r w:rsidRPr="006A4258">
        <w:rPr>
          <w:rFonts w:ascii="Arial" w:eastAsia="Arial" w:hAnsi="Arial" w:cs="Arial"/>
          <w:color w:val="000000"/>
          <w:sz w:val="24"/>
          <w:szCs w:val="24"/>
          <w:lang w:eastAsia="en-GB"/>
        </w:rPr>
        <w:t>Deputy Chief Executive</w:t>
      </w:r>
    </w:p>
    <w:p w:rsidR="00AE6EA2" w:rsidRPr="006A4258" w:rsidRDefault="00AE6EA2" w:rsidP="00AE6EA2">
      <w:pPr>
        <w:spacing w:after="3" w:line="240" w:lineRule="auto"/>
        <w:ind w:right="14"/>
        <w:jc w:val="both"/>
        <w:rPr>
          <w:rFonts w:ascii="Arial" w:eastAsia="Arial" w:hAnsi="Arial" w:cs="Arial"/>
          <w:color w:val="000000"/>
          <w:sz w:val="24"/>
          <w:szCs w:val="24"/>
          <w:lang w:eastAsia="en-GB"/>
        </w:rPr>
      </w:pPr>
      <w:r w:rsidRPr="006A4258">
        <w:rPr>
          <w:rFonts w:ascii="Arial" w:eastAsia="Arial" w:hAnsi="Arial" w:cs="Arial"/>
          <w:b/>
          <w:color w:val="000000"/>
          <w:sz w:val="24"/>
          <w:szCs w:val="24"/>
          <w:lang w:eastAsia="en-GB"/>
        </w:rPr>
        <w:t>Reporting to</w:t>
      </w:r>
      <w:r w:rsidRPr="006A4258">
        <w:rPr>
          <w:rFonts w:ascii="Arial" w:eastAsia="Arial" w:hAnsi="Arial" w:cs="Arial"/>
          <w:color w:val="000000"/>
          <w:sz w:val="24"/>
          <w:szCs w:val="24"/>
          <w:lang w:eastAsia="en-GB"/>
        </w:rPr>
        <w:t>: PR and Communications Lead</w:t>
      </w:r>
    </w:p>
    <w:p w:rsidR="00AE6EA2" w:rsidRPr="006A4258" w:rsidRDefault="00AE6EA2" w:rsidP="00AE6EA2">
      <w:pPr>
        <w:spacing w:after="3" w:line="240" w:lineRule="auto"/>
        <w:ind w:right="14"/>
        <w:jc w:val="both"/>
        <w:rPr>
          <w:rFonts w:ascii="Arial" w:eastAsia="Arial" w:hAnsi="Arial" w:cs="Arial"/>
          <w:color w:val="000000"/>
          <w:sz w:val="24"/>
          <w:szCs w:val="24"/>
          <w:lang w:eastAsia="en-GB"/>
        </w:rPr>
      </w:pPr>
      <w:r w:rsidRPr="006A4258">
        <w:rPr>
          <w:rFonts w:ascii="Arial" w:eastAsia="Arial" w:hAnsi="Arial" w:cs="Arial"/>
          <w:b/>
          <w:color w:val="000000"/>
          <w:sz w:val="24"/>
          <w:szCs w:val="24"/>
          <w:lang w:eastAsia="en-GB"/>
        </w:rPr>
        <w:t>Location</w:t>
      </w:r>
      <w:r w:rsidRPr="006A4258">
        <w:rPr>
          <w:rFonts w:ascii="Arial" w:eastAsia="Arial" w:hAnsi="Arial" w:cs="Arial"/>
          <w:color w:val="000000"/>
          <w:sz w:val="24"/>
          <w:szCs w:val="24"/>
          <w:lang w:eastAsia="en-GB"/>
        </w:rPr>
        <w:t>: Greater Manchester (primarily located at Gaddum House, Manchester, travelling across Greater Manchester as needed for the role)</w:t>
      </w:r>
    </w:p>
    <w:p w:rsidR="00AE6EA2" w:rsidRPr="006A4258" w:rsidRDefault="00AE6EA2" w:rsidP="00AE6EA2">
      <w:pPr>
        <w:spacing w:after="3" w:line="240" w:lineRule="auto"/>
        <w:ind w:right="14"/>
        <w:jc w:val="both"/>
        <w:rPr>
          <w:rFonts w:ascii="Arial" w:eastAsia="Arial" w:hAnsi="Arial" w:cs="Arial"/>
          <w:color w:val="000000"/>
          <w:sz w:val="24"/>
          <w:szCs w:val="24"/>
          <w:lang w:eastAsia="en-GB"/>
        </w:rPr>
      </w:pPr>
      <w:r w:rsidRPr="006A4258">
        <w:rPr>
          <w:rFonts w:ascii="Arial" w:eastAsia="Arial" w:hAnsi="Arial" w:cs="Arial"/>
          <w:b/>
          <w:color w:val="000000"/>
          <w:sz w:val="24"/>
          <w:szCs w:val="24"/>
          <w:lang w:eastAsia="en-GB"/>
        </w:rPr>
        <w:t>Salary</w:t>
      </w:r>
      <w:r w:rsidRPr="006A4258">
        <w:rPr>
          <w:rFonts w:ascii="Arial" w:eastAsia="Arial" w:hAnsi="Arial" w:cs="Arial"/>
          <w:color w:val="000000"/>
          <w:sz w:val="24"/>
          <w:szCs w:val="24"/>
          <w:lang w:eastAsia="en-GB"/>
        </w:rPr>
        <w:t>: £25,951</w:t>
      </w:r>
    </w:p>
    <w:p w:rsidR="00AE6EA2" w:rsidRPr="006A4258" w:rsidRDefault="00AE6EA2" w:rsidP="00AE6EA2">
      <w:pPr>
        <w:spacing w:after="0" w:line="240" w:lineRule="auto"/>
        <w:ind w:right="11"/>
        <w:jc w:val="both"/>
        <w:rPr>
          <w:rFonts w:ascii="Arial" w:eastAsia="Arial" w:hAnsi="Arial" w:cs="Arial"/>
          <w:color w:val="000000"/>
          <w:sz w:val="24"/>
          <w:szCs w:val="24"/>
          <w:lang w:eastAsia="en-GB"/>
        </w:rPr>
      </w:pPr>
      <w:r w:rsidRPr="006A4258">
        <w:rPr>
          <w:rFonts w:ascii="Arial" w:eastAsia="Arial" w:hAnsi="Arial" w:cs="Arial"/>
          <w:b/>
          <w:color w:val="000000"/>
          <w:sz w:val="24"/>
          <w:szCs w:val="24"/>
          <w:lang w:eastAsia="en-GB"/>
        </w:rPr>
        <w:t xml:space="preserve">Hours: </w:t>
      </w:r>
      <w:r w:rsidRPr="006A4258">
        <w:rPr>
          <w:rFonts w:ascii="Arial" w:eastAsia="Arial" w:hAnsi="Arial" w:cs="Arial"/>
          <w:color w:val="000000"/>
          <w:sz w:val="24"/>
          <w:szCs w:val="24"/>
          <w:lang w:eastAsia="en-GB"/>
        </w:rPr>
        <w:t>35 per week</w:t>
      </w:r>
    </w:p>
    <w:p w:rsidR="00AE6EA2" w:rsidRPr="006A4258" w:rsidRDefault="00AE6EA2" w:rsidP="006A4258">
      <w:pPr>
        <w:spacing w:after="0" w:line="240" w:lineRule="auto"/>
        <w:ind w:right="11"/>
        <w:jc w:val="both"/>
        <w:rPr>
          <w:rFonts w:ascii="Arial" w:eastAsia="Arial" w:hAnsi="Arial" w:cs="Arial"/>
          <w:color w:val="000000"/>
          <w:sz w:val="24"/>
          <w:szCs w:val="24"/>
          <w:lang w:eastAsia="en-GB"/>
        </w:rPr>
      </w:pPr>
      <w:r w:rsidRPr="006A4258">
        <w:rPr>
          <w:rFonts w:ascii="Arial" w:eastAsia="Arial" w:hAnsi="Arial" w:cs="Arial"/>
          <w:b/>
          <w:color w:val="000000"/>
          <w:sz w:val="24"/>
          <w:szCs w:val="24"/>
          <w:lang w:eastAsia="en-GB"/>
        </w:rPr>
        <w:t xml:space="preserve">Contract: </w:t>
      </w:r>
      <w:r w:rsidRPr="006A4258">
        <w:rPr>
          <w:rFonts w:ascii="Arial" w:eastAsia="Arial" w:hAnsi="Arial" w:cs="Arial"/>
          <w:color w:val="000000"/>
          <w:sz w:val="24"/>
          <w:szCs w:val="24"/>
          <w:lang w:eastAsia="en-GB"/>
        </w:rPr>
        <w:t>12 months – initially (funded by The National Lottery Community Fund)</w:t>
      </w:r>
      <w:r w:rsidRPr="006A4258">
        <w:rPr>
          <w:rFonts w:ascii="Arial" w:eastAsia="Arial" w:hAnsi="Arial" w:cs="Arial"/>
          <w:b/>
          <w:color w:val="000000"/>
          <w:sz w:val="24"/>
          <w:szCs w:val="24"/>
          <w:lang w:eastAsia="en-GB"/>
        </w:rPr>
        <w:t xml:space="preserve">           </w:t>
      </w:r>
      <w:r w:rsidRPr="006A4258">
        <w:rPr>
          <w:rFonts w:ascii="Arial" w:eastAsia="Arial" w:hAnsi="Arial" w:cs="Arial"/>
          <w:color w:val="000000"/>
          <w:sz w:val="24"/>
          <w:szCs w:val="24"/>
          <w:lang w:eastAsia="en-GB"/>
        </w:rPr>
        <w:tab/>
      </w:r>
    </w:p>
    <w:p w:rsidR="00AE6EA2" w:rsidRPr="006A4258" w:rsidRDefault="00AE6EA2" w:rsidP="00AE6EA2">
      <w:pPr>
        <w:keepNext/>
        <w:keepLines/>
        <w:spacing w:after="0" w:line="240" w:lineRule="auto"/>
        <w:outlineLvl w:val="1"/>
        <w:rPr>
          <w:rFonts w:ascii="Arial" w:eastAsia="Arial" w:hAnsi="Arial" w:cs="Arial"/>
          <w:b/>
          <w:color w:val="000000"/>
          <w:sz w:val="24"/>
          <w:szCs w:val="24"/>
          <w:lang w:eastAsia="en-GB"/>
        </w:rPr>
      </w:pPr>
      <w:r w:rsidRPr="006A4258">
        <w:rPr>
          <w:rFonts w:ascii="Arial" w:eastAsia="Arial" w:hAnsi="Arial" w:cs="Arial"/>
          <w:b/>
          <w:color w:val="000000"/>
          <w:sz w:val="24"/>
          <w:szCs w:val="24"/>
          <w:lang w:eastAsia="en-GB"/>
        </w:rPr>
        <w:t>Job Summary</w:t>
      </w:r>
    </w:p>
    <w:p w:rsidR="00AE6EA2" w:rsidRPr="006A4258" w:rsidRDefault="00AE6EA2" w:rsidP="00AE6EA2">
      <w:pPr>
        <w:spacing w:after="0" w:line="240" w:lineRule="auto"/>
        <w:rPr>
          <w:rFonts w:ascii="Arial" w:eastAsia="Arial" w:hAnsi="Arial" w:cs="Arial"/>
          <w:color w:val="000000"/>
          <w:sz w:val="24"/>
          <w:szCs w:val="24"/>
          <w:lang w:eastAsia="en-GB"/>
        </w:rPr>
      </w:pPr>
      <w:bookmarkStart w:id="0" w:name="_GoBack"/>
      <w:r w:rsidRPr="006A4258">
        <w:rPr>
          <w:rFonts w:ascii="Arial" w:eastAsia="Arial" w:hAnsi="Arial" w:cs="Arial"/>
          <w:color w:val="000000"/>
          <w:sz w:val="24"/>
          <w:szCs w:val="24"/>
          <w:lang w:eastAsia="en-GB"/>
        </w:rPr>
        <w:t>To support the development of an ambitious and comprehensive volunteering strategy across all of Gaddum’s services: including capturing and evaluating volunteering activity across the organisation, establishing organisational need and opportunities for volunteers to respond to and developing relationships with external stakeholders to create and promote volunteering opportunities.</w:t>
      </w:r>
    </w:p>
    <w:bookmarkEnd w:id="0"/>
    <w:p w:rsidR="00AE6EA2" w:rsidRPr="006A4258" w:rsidRDefault="00AE6EA2" w:rsidP="00AE6EA2">
      <w:pPr>
        <w:spacing w:after="0"/>
        <w:rPr>
          <w:rFonts w:ascii="Arial" w:eastAsia="Arial" w:hAnsi="Arial" w:cs="Arial"/>
          <w:color w:val="000000"/>
          <w:sz w:val="24"/>
          <w:szCs w:val="24"/>
          <w:lang w:eastAsia="en-GB"/>
        </w:rPr>
      </w:pPr>
    </w:p>
    <w:p w:rsidR="00AE6EA2" w:rsidRPr="006A4258" w:rsidRDefault="00AE6EA2" w:rsidP="00AE6EA2">
      <w:pPr>
        <w:keepNext/>
        <w:keepLines/>
        <w:spacing w:after="0"/>
        <w:outlineLvl w:val="1"/>
        <w:rPr>
          <w:rFonts w:ascii="Arial" w:eastAsia="Arial" w:hAnsi="Arial" w:cs="Arial"/>
          <w:b/>
          <w:color w:val="000000"/>
          <w:sz w:val="24"/>
          <w:szCs w:val="24"/>
          <w:lang w:eastAsia="en-GB"/>
        </w:rPr>
      </w:pPr>
      <w:r w:rsidRPr="006A4258">
        <w:rPr>
          <w:rFonts w:ascii="Arial" w:eastAsia="Arial" w:hAnsi="Arial" w:cs="Arial"/>
          <w:b/>
          <w:color w:val="000000"/>
          <w:sz w:val="24"/>
          <w:szCs w:val="24"/>
          <w:lang w:eastAsia="en-GB"/>
        </w:rPr>
        <w:t>Job Purpose</w:t>
      </w:r>
    </w:p>
    <w:p w:rsidR="00AE6EA2" w:rsidRPr="006A4258" w:rsidRDefault="00AE6EA2" w:rsidP="00AE6EA2">
      <w:pPr>
        <w:numPr>
          <w:ilvl w:val="0"/>
          <w:numId w:val="1"/>
        </w:numPr>
        <w:spacing w:after="0" w:line="240" w:lineRule="auto"/>
        <w:ind w:right="14"/>
        <w:contextualSpacing/>
        <w:jc w:val="both"/>
        <w:rPr>
          <w:rFonts w:ascii="Arial" w:eastAsia="Arial" w:hAnsi="Arial" w:cs="Arial"/>
          <w:color w:val="000000"/>
          <w:sz w:val="24"/>
          <w:szCs w:val="24"/>
          <w:lang w:eastAsia="en-GB"/>
        </w:rPr>
      </w:pPr>
      <w:r w:rsidRPr="006A4258">
        <w:rPr>
          <w:rFonts w:ascii="Arial" w:eastAsia="Arial" w:hAnsi="Arial" w:cs="Arial"/>
          <w:color w:val="000000"/>
          <w:sz w:val="24"/>
          <w:szCs w:val="24"/>
          <w:lang w:eastAsia="en-GB"/>
        </w:rPr>
        <w:t>To recruit to and support volunteer opportunities across Gaddum.</w:t>
      </w:r>
    </w:p>
    <w:p w:rsidR="00AE6EA2" w:rsidRPr="006A4258" w:rsidRDefault="00AE6EA2" w:rsidP="00AE6EA2">
      <w:pPr>
        <w:numPr>
          <w:ilvl w:val="0"/>
          <w:numId w:val="1"/>
        </w:numPr>
        <w:spacing w:after="0" w:line="240" w:lineRule="auto"/>
        <w:ind w:right="14"/>
        <w:contextualSpacing/>
        <w:jc w:val="both"/>
        <w:rPr>
          <w:rFonts w:ascii="Arial" w:eastAsia="Arial" w:hAnsi="Arial" w:cs="Arial"/>
          <w:color w:val="000000"/>
          <w:sz w:val="24"/>
          <w:szCs w:val="24"/>
          <w:lang w:eastAsia="en-GB"/>
        </w:rPr>
      </w:pPr>
      <w:r w:rsidRPr="006A4258">
        <w:rPr>
          <w:rFonts w:ascii="Arial" w:eastAsia="Arial" w:hAnsi="Arial" w:cs="Arial"/>
          <w:color w:val="000000"/>
          <w:sz w:val="24"/>
          <w:szCs w:val="24"/>
          <w:lang w:eastAsia="en-GB"/>
        </w:rPr>
        <w:t>Engagement with internal and external stakeholders, including Gaddum staff, specifically Heads of Services and Leads.</w:t>
      </w:r>
    </w:p>
    <w:p w:rsidR="00AE6EA2" w:rsidRPr="006A4258" w:rsidRDefault="00AE6EA2" w:rsidP="00AE6EA2">
      <w:pPr>
        <w:numPr>
          <w:ilvl w:val="0"/>
          <w:numId w:val="1"/>
        </w:numPr>
        <w:spacing w:after="0" w:line="240" w:lineRule="auto"/>
        <w:ind w:right="14"/>
        <w:contextualSpacing/>
        <w:jc w:val="both"/>
        <w:rPr>
          <w:rFonts w:ascii="Arial" w:eastAsia="Arial" w:hAnsi="Arial" w:cs="Arial"/>
          <w:color w:val="000000"/>
          <w:sz w:val="24"/>
          <w:szCs w:val="24"/>
          <w:lang w:eastAsia="en-GB"/>
        </w:rPr>
      </w:pPr>
      <w:r w:rsidRPr="006A4258">
        <w:rPr>
          <w:rFonts w:ascii="Arial" w:eastAsia="Arial" w:hAnsi="Arial" w:cs="Arial"/>
          <w:color w:val="000000"/>
          <w:sz w:val="24"/>
          <w:szCs w:val="24"/>
          <w:lang w:eastAsia="en-GB"/>
        </w:rPr>
        <w:t>To meet all set targets and timescales, ensuring measurable outcomes are achieved.</w:t>
      </w:r>
    </w:p>
    <w:p w:rsidR="00AE6EA2" w:rsidRPr="006A4258" w:rsidRDefault="00AE6EA2" w:rsidP="00AE6EA2">
      <w:pPr>
        <w:numPr>
          <w:ilvl w:val="0"/>
          <w:numId w:val="1"/>
        </w:numPr>
        <w:spacing w:after="0" w:line="240" w:lineRule="auto"/>
        <w:ind w:right="14"/>
        <w:contextualSpacing/>
        <w:jc w:val="both"/>
        <w:rPr>
          <w:rFonts w:ascii="Arial" w:eastAsia="Arial" w:hAnsi="Arial" w:cs="Arial"/>
          <w:color w:val="000000"/>
          <w:sz w:val="24"/>
          <w:szCs w:val="24"/>
          <w:lang w:eastAsia="en-GB"/>
        </w:rPr>
      </w:pPr>
      <w:r w:rsidRPr="006A4258">
        <w:rPr>
          <w:rFonts w:ascii="Arial" w:eastAsia="Arial" w:hAnsi="Arial" w:cs="Arial"/>
          <w:color w:val="000000"/>
          <w:sz w:val="24"/>
          <w:szCs w:val="24"/>
          <w:lang w:eastAsia="en-GB"/>
        </w:rPr>
        <w:t>To produce, contribute to and review monitoring and data reports where appropriate.</w:t>
      </w:r>
    </w:p>
    <w:p w:rsidR="00AE6EA2" w:rsidRPr="006A4258" w:rsidRDefault="00AE6EA2" w:rsidP="00AE6EA2">
      <w:pPr>
        <w:numPr>
          <w:ilvl w:val="0"/>
          <w:numId w:val="1"/>
        </w:numPr>
        <w:spacing w:after="0" w:line="240" w:lineRule="auto"/>
        <w:ind w:right="14"/>
        <w:contextualSpacing/>
        <w:jc w:val="both"/>
        <w:rPr>
          <w:rFonts w:ascii="Arial" w:eastAsia="Arial" w:hAnsi="Arial" w:cs="Arial"/>
          <w:color w:val="000000"/>
          <w:sz w:val="24"/>
          <w:szCs w:val="24"/>
          <w:lang w:eastAsia="en-GB"/>
        </w:rPr>
      </w:pPr>
      <w:r w:rsidRPr="006A4258">
        <w:rPr>
          <w:rFonts w:ascii="Arial" w:eastAsia="Arial" w:hAnsi="Arial" w:cs="Arial"/>
          <w:color w:val="000000"/>
          <w:sz w:val="24"/>
          <w:szCs w:val="24"/>
          <w:lang w:eastAsia="en-GB"/>
        </w:rPr>
        <w:t>To develop insight and evidence supporting a volunteering strategy which Gaddum can adopt.</w:t>
      </w:r>
    </w:p>
    <w:p w:rsidR="00AE6EA2" w:rsidRPr="006A4258" w:rsidRDefault="00AE6EA2" w:rsidP="00AE6EA2">
      <w:pPr>
        <w:spacing w:after="0" w:line="240" w:lineRule="auto"/>
        <w:rPr>
          <w:rFonts w:ascii="Arial" w:eastAsia="Arial" w:hAnsi="Arial" w:cs="Arial"/>
          <w:color w:val="000000"/>
          <w:sz w:val="24"/>
          <w:szCs w:val="24"/>
          <w:lang w:eastAsia="en-GB"/>
        </w:rPr>
      </w:pPr>
    </w:p>
    <w:p w:rsidR="006A4258" w:rsidRPr="006A4258" w:rsidRDefault="006A4258" w:rsidP="006A4258">
      <w:pPr>
        <w:pStyle w:val="NormalWeb"/>
        <w:spacing w:before="0" w:beforeAutospacing="0" w:after="300" w:afterAutospacing="0"/>
        <w:rPr>
          <w:rFonts w:ascii="Arial" w:hAnsi="Arial" w:cs="Arial"/>
        </w:rPr>
      </w:pPr>
      <w:r>
        <w:rPr>
          <w:rFonts w:ascii="Arial" w:hAnsi="Arial" w:cs="Arial"/>
        </w:rPr>
        <w:t>To apply please complete the application form below and return</w:t>
      </w:r>
      <w:r w:rsidRPr="006A4258">
        <w:rPr>
          <w:rFonts w:ascii="Arial" w:hAnsi="Arial" w:cs="Arial"/>
        </w:rPr>
        <w:t xml:space="preserve"> to </w:t>
      </w:r>
      <w:hyperlink r:id="rId5" w:history="1">
        <w:r w:rsidRPr="00ED6617">
          <w:rPr>
            <w:rStyle w:val="Hyperlink"/>
            <w:rFonts w:ascii="Arial" w:hAnsi="Arial" w:cs="Arial"/>
          </w:rPr>
          <w:t>HR@gaddum.co.uk</w:t>
        </w:r>
      </w:hyperlink>
      <w:r>
        <w:rPr>
          <w:rFonts w:ascii="Arial" w:hAnsi="Arial" w:cs="Arial"/>
        </w:rPr>
        <w:t xml:space="preserve"> </w:t>
      </w:r>
      <w:r w:rsidRPr="006A4258">
        <w:rPr>
          <w:rFonts w:ascii="Arial" w:hAnsi="Arial" w:cs="Arial"/>
        </w:rPr>
        <w:t>or by post to Gaddum Centre, Gaddum House, 6 Great Jackson St Manchester M15 4AX.</w:t>
      </w:r>
    </w:p>
    <w:p w:rsidR="006A4258" w:rsidRPr="006A4258" w:rsidRDefault="006A4258" w:rsidP="006A4258">
      <w:pPr>
        <w:pStyle w:val="NormalWeb"/>
        <w:spacing w:before="0" w:beforeAutospacing="0" w:after="300" w:afterAutospacing="0"/>
        <w:rPr>
          <w:rFonts w:ascii="Arial" w:hAnsi="Arial" w:cs="Arial"/>
        </w:rPr>
      </w:pPr>
      <w:r w:rsidRPr="006A4258">
        <w:rPr>
          <w:rFonts w:ascii="Arial" w:hAnsi="Arial" w:cs="Arial"/>
        </w:rPr>
        <w:t>For informal discussion about the role please contact: 0161 834 6069</w:t>
      </w:r>
    </w:p>
    <w:p w:rsidR="006A4258" w:rsidRPr="006A4258" w:rsidRDefault="006A4258" w:rsidP="006A4258">
      <w:pPr>
        <w:pStyle w:val="NormalWeb"/>
        <w:spacing w:before="0" w:beforeAutospacing="0" w:after="300" w:afterAutospacing="0"/>
        <w:rPr>
          <w:rFonts w:ascii="Arial" w:hAnsi="Arial" w:cs="Arial"/>
        </w:rPr>
      </w:pPr>
      <w:r w:rsidRPr="006A4258">
        <w:rPr>
          <w:rStyle w:val="Strong"/>
          <w:rFonts w:ascii="Arial" w:hAnsi="Arial" w:cs="Arial"/>
        </w:rPr>
        <w:t xml:space="preserve">Closing date: </w:t>
      </w:r>
      <w:r>
        <w:rPr>
          <w:rFonts w:ascii="Arial" w:hAnsi="Arial" w:cs="Arial"/>
        </w:rPr>
        <w:t>Wednesday 22</w:t>
      </w:r>
      <w:r w:rsidRPr="006A4258">
        <w:rPr>
          <w:rFonts w:ascii="Arial" w:hAnsi="Arial" w:cs="Arial"/>
          <w:vertAlign w:val="superscript"/>
        </w:rPr>
        <w:t>nd</w:t>
      </w:r>
      <w:r>
        <w:rPr>
          <w:rFonts w:ascii="Arial" w:hAnsi="Arial" w:cs="Arial"/>
        </w:rPr>
        <w:t xml:space="preserve"> May 2019, 12pm</w:t>
      </w:r>
    </w:p>
    <w:p w:rsidR="006A4258" w:rsidRPr="006A4258" w:rsidRDefault="006A4258" w:rsidP="006A4258">
      <w:pPr>
        <w:pStyle w:val="NormalWeb"/>
        <w:spacing w:before="0" w:beforeAutospacing="0" w:after="300" w:afterAutospacing="0"/>
        <w:rPr>
          <w:rFonts w:ascii="Arial" w:hAnsi="Arial" w:cs="Arial"/>
        </w:rPr>
      </w:pPr>
      <w:r w:rsidRPr="006A4258">
        <w:rPr>
          <w:rStyle w:val="Strong"/>
          <w:rFonts w:ascii="Arial" w:hAnsi="Arial" w:cs="Arial"/>
        </w:rPr>
        <w:t xml:space="preserve">Interview date: </w:t>
      </w:r>
      <w:r w:rsidRPr="006A4258">
        <w:rPr>
          <w:rStyle w:val="Strong"/>
          <w:rFonts w:ascii="Arial" w:hAnsi="Arial" w:cs="Arial"/>
          <w:b w:val="0"/>
        </w:rPr>
        <w:t>Thursday 30</w:t>
      </w:r>
      <w:r w:rsidRPr="006A4258">
        <w:rPr>
          <w:rStyle w:val="Strong"/>
          <w:rFonts w:ascii="Arial" w:hAnsi="Arial" w:cs="Arial"/>
          <w:b w:val="0"/>
          <w:vertAlign w:val="superscript"/>
        </w:rPr>
        <w:t>th</w:t>
      </w:r>
      <w:r w:rsidRPr="006A4258">
        <w:rPr>
          <w:rStyle w:val="Strong"/>
          <w:rFonts w:ascii="Arial" w:hAnsi="Arial" w:cs="Arial"/>
          <w:b w:val="0"/>
        </w:rPr>
        <w:t xml:space="preserve"> May 2019</w:t>
      </w:r>
    </w:p>
    <w:p w:rsidR="00AE6EA2" w:rsidRPr="004B5525" w:rsidRDefault="006A4258" w:rsidP="004B5525">
      <w:pPr>
        <w:pStyle w:val="NormalWeb"/>
        <w:spacing w:before="0" w:beforeAutospacing="0" w:after="300" w:afterAutospacing="0"/>
        <w:rPr>
          <w:rFonts w:ascii="&amp;quot" w:hAnsi="&amp;quot"/>
        </w:rPr>
      </w:pPr>
      <w:r w:rsidRPr="006A4258">
        <w:rPr>
          <w:rFonts w:ascii="&amp;quot" w:hAnsi="&amp;quot"/>
        </w:rPr>
        <w:t> </w:t>
      </w:r>
      <w:r>
        <w:rPr>
          <w:noProof/>
        </w:rPr>
        <w:drawing>
          <wp:inline distT="0" distB="0" distL="0" distR="0" wp14:anchorId="2783D860" wp14:editId="08109ADE">
            <wp:extent cx="2365375" cy="115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5375" cy="1158240"/>
                    </a:xfrm>
                    <a:prstGeom prst="rect">
                      <a:avLst/>
                    </a:prstGeom>
                    <a:noFill/>
                  </pic:spPr>
                </pic:pic>
              </a:graphicData>
            </a:graphic>
          </wp:inline>
        </w:drawing>
      </w:r>
    </w:p>
    <w:sectPr w:rsidR="00AE6EA2" w:rsidRPr="004B5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66812"/>
    <w:multiLevelType w:val="hybridMultilevel"/>
    <w:tmpl w:val="97FC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A2"/>
    <w:rsid w:val="0019039D"/>
    <w:rsid w:val="004B5525"/>
    <w:rsid w:val="006A4258"/>
    <w:rsid w:val="008D7748"/>
    <w:rsid w:val="00AE6EA2"/>
    <w:rsid w:val="00D3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88FBC-6F4B-4C6F-9953-190FA4E1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2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4258"/>
    <w:rPr>
      <w:b/>
      <w:bCs/>
    </w:rPr>
  </w:style>
  <w:style w:type="character" w:styleId="Hyperlink">
    <w:name w:val="Hyperlink"/>
    <w:basedOn w:val="DefaultParagraphFont"/>
    <w:uiPriority w:val="99"/>
    <w:unhideWhenUsed/>
    <w:rsid w:val="006A4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R@gaddu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Adams</dc:creator>
  <cp:keywords/>
  <dc:description/>
  <cp:lastModifiedBy>Sharon Boswell</cp:lastModifiedBy>
  <cp:revision>2</cp:revision>
  <dcterms:created xsi:type="dcterms:W3CDTF">2019-05-02T10:18:00Z</dcterms:created>
  <dcterms:modified xsi:type="dcterms:W3CDTF">2019-05-02T10:18:00Z</dcterms:modified>
</cp:coreProperties>
</file>