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B6" w:rsidRPr="002C6678" w:rsidRDefault="008207B6" w:rsidP="002C6678">
      <w:pPr>
        <w:spacing w:line="480" w:lineRule="auto"/>
        <w:ind w:right="70"/>
        <w:jc w:val="center"/>
        <w:rPr>
          <w:rFonts w:cs="Arial"/>
          <w:b/>
          <w:sz w:val="32"/>
        </w:rPr>
      </w:pPr>
    </w:p>
    <w:p w:rsidR="00501B8B" w:rsidRPr="002C6678" w:rsidRDefault="00501B8B" w:rsidP="002C6678">
      <w:pPr>
        <w:spacing w:line="480" w:lineRule="auto"/>
        <w:ind w:right="70"/>
        <w:jc w:val="center"/>
        <w:rPr>
          <w:rFonts w:cs="Arial"/>
          <w:b/>
          <w:sz w:val="32"/>
        </w:rPr>
      </w:pPr>
      <w:r w:rsidRPr="002C6678">
        <w:rPr>
          <w:rFonts w:cs="Arial"/>
          <w:b/>
          <w:sz w:val="32"/>
        </w:rPr>
        <w:t xml:space="preserve">Proposal to Little Hulton Big Local </w:t>
      </w:r>
    </w:p>
    <w:p w:rsidR="008207B6" w:rsidRPr="002C6678" w:rsidRDefault="008207B6" w:rsidP="002C6678">
      <w:pPr>
        <w:spacing w:line="480" w:lineRule="auto"/>
        <w:ind w:right="70"/>
        <w:jc w:val="center"/>
        <w:rPr>
          <w:rFonts w:cs="Arial"/>
          <w:b/>
          <w:sz w:val="32"/>
        </w:rPr>
      </w:pPr>
    </w:p>
    <w:p w:rsidR="0006490B" w:rsidRDefault="008207B6" w:rsidP="0006490B">
      <w:pPr>
        <w:spacing w:line="480" w:lineRule="auto"/>
        <w:ind w:right="70"/>
        <w:jc w:val="center"/>
        <w:rPr>
          <w:rFonts w:cs="Arial"/>
          <w:b/>
          <w:sz w:val="32"/>
        </w:rPr>
      </w:pPr>
      <w:r w:rsidRPr="002C6678">
        <w:rPr>
          <w:rFonts w:cs="Arial"/>
          <w:b/>
          <w:sz w:val="32"/>
        </w:rPr>
        <w:t>Provision</w:t>
      </w:r>
      <w:r w:rsidR="0006490B">
        <w:rPr>
          <w:rFonts w:cs="Arial"/>
          <w:b/>
          <w:sz w:val="32"/>
        </w:rPr>
        <w:t xml:space="preserve"> </w:t>
      </w:r>
      <w:r w:rsidR="00B24473" w:rsidRPr="002C6678">
        <w:rPr>
          <w:rFonts w:cs="Arial"/>
          <w:b/>
          <w:sz w:val="32"/>
        </w:rPr>
        <w:t xml:space="preserve">for </w:t>
      </w:r>
      <w:r w:rsidR="0006490B">
        <w:rPr>
          <w:rFonts w:cs="Arial"/>
          <w:b/>
          <w:sz w:val="32"/>
        </w:rPr>
        <w:t xml:space="preserve">NEET, and ‘at risk’ of NEET, </w:t>
      </w:r>
    </w:p>
    <w:p w:rsidR="00523882" w:rsidRPr="002C6678" w:rsidRDefault="00B24473" w:rsidP="0006490B">
      <w:pPr>
        <w:spacing w:line="480" w:lineRule="auto"/>
        <w:ind w:right="70"/>
        <w:jc w:val="center"/>
        <w:rPr>
          <w:rFonts w:cs="Arial"/>
          <w:b/>
          <w:sz w:val="32"/>
        </w:rPr>
      </w:pPr>
      <w:r w:rsidRPr="002C6678">
        <w:rPr>
          <w:rFonts w:cs="Arial"/>
          <w:b/>
          <w:sz w:val="32"/>
        </w:rPr>
        <w:t>Young People in Little Hulton</w:t>
      </w:r>
    </w:p>
    <w:p w:rsidR="008207B6" w:rsidRPr="00501B8B" w:rsidRDefault="008207B6" w:rsidP="002C6678">
      <w:pPr>
        <w:spacing w:line="480" w:lineRule="auto"/>
        <w:ind w:right="70"/>
        <w:rPr>
          <w:rFonts w:cs="Arial"/>
          <w:b/>
        </w:rPr>
      </w:pPr>
    </w:p>
    <w:p w:rsidR="00501B8B" w:rsidRPr="00501B8B" w:rsidRDefault="00501B8B" w:rsidP="002C6678">
      <w:pPr>
        <w:spacing w:line="480" w:lineRule="auto"/>
        <w:ind w:right="70"/>
        <w:jc w:val="center"/>
        <w:rPr>
          <w:rFonts w:cs="Arial"/>
          <w:b/>
        </w:rPr>
      </w:pPr>
    </w:p>
    <w:p w:rsidR="008207B6" w:rsidRPr="00501B8B" w:rsidRDefault="008207B6" w:rsidP="002C6678">
      <w:pPr>
        <w:spacing w:line="480" w:lineRule="auto"/>
        <w:ind w:right="70"/>
        <w:jc w:val="center"/>
        <w:rPr>
          <w:rFonts w:cs="Arial"/>
          <w:b/>
        </w:rPr>
      </w:pPr>
    </w:p>
    <w:p w:rsidR="008207B6" w:rsidRPr="00501B8B" w:rsidRDefault="008207B6" w:rsidP="002C6678">
      <w:pPr>
        <w:spacing w:line="480" w:lineRule="auto"/>
        <w:ind w:right="70"/>
        <w:jc w:val="center"/>
        <w:rPr>
          <w:rFonts w:cs="Arial"/>
          <w:b/>
        </w:rPr>
      </w:pPr>
    </w:p>
    <w:p w:rsidR="008207B6" w:rsidRPr="00501B8B" w:rsidRDefault="0006490B" w:rsidP="002C6678">
      <w:pPr>
        <w:spacing w:line="480" w:lineRule="auto"/>
        <w:ind w:right="70"/>
        <w:jc w:val="center"/>
        <w:rPr>
          <w:rFonts w:cs="Arial"/>
          <w:b/>
        </w:rPr>
      </w:pPr>
      <w:r>
        <w:rPr>
          <w:rFonts w:cs="Arial"/>
          <w:b/>
        </w:rPr>
        <w:t>September</w:t>
      </w:r>
      <w:r w:rsidR="008207B6" w:rsidRPr="00501B8B">
        <w:rPr>
          <w:rFonts w:cs="Arial"/>
          <w:b/>
        </w:rPr>
        <w:t xml:space="preserve"> 2018</w:t>
      </w:r>
    </w:p>
    <w:p w:rsidR="008207B6" w:rsidRPr="00501B8B" w:rsidRDefault="008207B6" w:rsidP="002C6678">
      <w:pPr>
        <w:spacing w:line="480" w:lineRule="auto"/>
        <w:ind w:right="70"/>
        <w:jc w:val="center"/>
        <w:rPr>
          <w:rFonts w:cs="Arial"/>
          <w:b/>
        </w:rPr>
      </w:pPr>
    </w:p>
    <w:p w:rsidR="008207B6" w:rsidRPr="00501B8B" w:rsidRDefault="008207B6" w:rsidP="002C6678">
      <w:pPr>
        <w:spacing w:line="480" w:lineRule="auto"/>
        <w:ind w:right="70"/>
        <w:jc w:val="center"/>
        <w:rPr>
          <w:rFonts w:cs="Arial"/>
          <w:b/>
        </w:rPr>
      </w:pPr>
    </w:p>
    <w:p w:rsidR="008207B6" w:rsidRPr="00501B8B" w:rsidRDefault="008207B6" w:rsidP="002C6678">
      <w:pPr>
        <w:spacing w:line="480" w:lineRule="auto"/>
        <w:ind w:right="70"/>
        <w:jc w:val="center"/>
        <w:rPr>
          <w:rFonts w:cs="Arial"/>
          <w:b/>
        </w:rPr>
      </w:pPr>
    </w:p>
    <w:p w:rsidR="008207B6" w:rsidRPr="00501B8B" w:rsidRDefault="008207B6" w:rsidP="002C6678">
      <w:pPr>
        <w:spacing w:line="480" w:lineRule="auto"/>
        <w:ind w:right="70"/>
        <w:jc w:val="center"/>
        <w:rPr>
          <w:rFonts w:cs="Arial"/>
          <w:b/>
        </w:rPr>
      </w:pPr>
    </w:p>
    <w:p w:rsidR="008207B6" w:rsidRPr="00501B8B" w:rsidRDefault="008207B6" w:rsidP="002C6678">
      <w:pPr>
        <w:spacing w:line="480" w:lineRule="auto"/>
        <w:ind w:right="70"/>
        <w:jc w:val="center"/>
        <w:rPr>
          <w:rFonts w:cs="Arial"/>
          <w:b/>
        </w:rPr>
      </w:pPr>
    </w:p>
    <w:p w:rsidR="008207B6" w:rsidRPr="00501B8B" w:rsidRDefault="008207B6" w:rsidP="002C6678">
      <w:pPr>
        <w:spacing w:line="480" w:lineRule="auto"/>
        <w:ind w:right="70"/>
        <w:jc w:val="center"/>
        <w:rPr>
          <w:rFonts w:cs="Arial"/>
          <w:b/>
        </w:rPr>
      </w:pPr>
    </w:p>
    <w:p w:rsidR="003256E2" w:rsidRPr="002C6678" w:rsidRDefault="008207B6" w:rsidP="002C6678">
      <w:pPr>
        <w:spacing w:line="480" w:lineRule="auto"/>
        <w:rPr>
          <w:rFonts w:cs="Arial"/>
        </w:rPr>
      </w:pPr>
      <w:r w:rsidRPr="00501B8B">
        <w:rPr>
          <w:rFonts w:cs="Arial"/>
        </w:rPr>
        <w:br w:type="page"/>
      </w:r>
    </w:p>
    <w:p w:rsidR="003256E2" w:rsidRPr="00501B8B" w:rsidRDefault="003256E2" w:rsidP="002C6678">
      <w:pPr>
        <w:spacing w:line="480" w:lineRule="auto"/>
        <w:rPr>
          <w:rFonts w:cs="Arial"/>
          <w:b/>
        </w:rPr>
      </w:pPr>
    </w:p>
    <w:sdt>
      <w:sdtPr>
        <w:rPr>
          <w:rFonts w:ascii="Arial" w:eastAsia="Times New Roman" w:hAnsi="Arial" w:cs="Arial"/>
          <w:color w:val="auto"/>
          <w:sz w:val="24"/>
          <w:szCs w:val="24"/>
          <w:lang w:val="en-GB" w:eastAsia="en-GB"/>
        </w:rPr>
        <w:id w:val="-824274126"/>
        <w:docPartObj>
          <w:docPartGallery w:val="Table of Contents"/>
          <w:docPartUnique/>
        </w:docPartObj>
      </w:sdtPr>
      <w:sdtEndPr>
        <w:rPr>
          <w:color w:val="7030A0"/>
        </w:rPr>
      </w:sdtEndPr>
      <w:sdtContent>
        <w:p w:rsidR="00501B8B" w:rsidRPr="000F559F" w:rsidRDefault="00501B8B" w:rsidP="002C6678">
          <w:pPr>
            <w:pStyle w:val="TOCHeading"/>
            <w:spacing w:before="0" w:line="480" w:lineRule="auto"/>
            <w:jc w:val="both"/>
            <w:rPr>
              <w:rFonts w:ascii="Arial" w:hAnsi="Arial" w:cs="Arial"/>
              <w:b/>
              <w:color w:val="auto"/>
              <w:sz w:val="28"/>
              <w:szCs w:val="24"/>
            </w:rPr>
          </w:pPr>
          <w:r w:rsidRPr="000F559F">
            <w:rPr>
              <w:rFonts w:ascii="Arial" w:hAnsi="Arial" w:cs="Arial"/>
              <w:b/>
              <w:color w:val="auto"/>
              <w:sz w:val="28"/>
              <w:szCs w:val="24"/>
            </w:rPr>
            <w:t>Table of Contents</w:t>
          </w:r>
        </w:p>
        <w:p w:rsidR="00501B8B" w:rsidRPr="005B6524" w:rsidRDefault="00501B8B" w:rsidP="005B6524">
          <w:pPr>
            <w:pStyle w:val="TOC1"/>
            <w:numPr>
              <w:ilvl w:val="0"/>
              <w:numId w:val="30"/>
            </w:numPr>
          </w:pPr>
          <w:r w:rsidRPr="000F559F">
            <w:t>Background Information</w:t>
          </w:r>
          <w:r w:rsidRPr="000F559F">
            <w:ptab w:relativeTo="margin" w:alignment="right" w:leader="dot"/>
          </w:r>
          <w:r w:rsidR="002C6678" w:rsidRPr="000F559F">
            <w:t>3</w:t>
          </w:r>
        </w:p>
        <w:p w:rsidR="00501B8B" w:rsidRPr="00BD579E" w:rsidRDefault="00501B8B" w:rsidP="000F559F">
          <w:pPr>
            <w:pStyle w:val="TOC1"/>
          </w:pPr>
          <w:r w:rsidRPr="00BD579E">
            <w:t>2. The Proposal</w:t>
          </w:r>
          <w:r w:rsidRPr="00BD579E">
            <w:ptab w:relativeTo="margin" w:alignment="right" w:leader="dot"/>
          </w:r>
          <w:r w:rsidR="005B6524">
            <w:t>6</w:t>
          </w:r>
        </w:p>
        <w:p w:rsidR="00501B8B" w:rsidRPr="00BD579E" w:rsidRDefault="00501B8B" w:rsidP="002C6678">
          <w:pPr>
            <w:spacing w:line="480" w:lineRule="auto"/>
            <w:jc w:val="both"/>
            <w:rPr>
              <w:b/>
              <w:lang w:val="en-US" w:eastAsia="en-US"/>
            </w:rPr>
          </w:pPr>
          <w:r w:rsidRPr="00BD579E">
            <w:rPr>
              <w:b/>
              <w:lang w:val="en-US" w:eastAsia="en-US"/>
            </w:rPr>
            <w:t xml:space="preserve">3. Service </w:t>
          </w:r>
          <w:r w:rsidR="00BD579E" w:rsidRPr="00BD579E">
            <w:rPr>
              <w:b/>
              <w:lang w:val="en-US" w:eastAsia="en-US"/>
            </w:rPr>
            <w:t>Requirements</w:t>
          </w:r>
          <w:r w:rsidRPr="00BD579E">
            <w:rPr>
              <w:rFonts w:cs="Arial"/>
              <w:b/>
            </w:rPr>
            <w:ptab w:relativeTo="margin" w:alignment="right" w:leader="dot"/>
          </w:r>
          <w:r w:rsidR="005B6524">
            <w:rPr>
              <w:rFonts w:cs="Arial"/>
              <w:b/>
            </w:rPr>
            <w:t>7</w:t>
          </w:r>
        </w:p>
        <w:p w:rsidR="00501B8B" w:rsidRPr="00BD579E" w:rsidRDefault="00501B8B" w:rsidP="002C6678">
          <w:pPr>
            <w:spacing w:line="480" w:lineRule="auto"/>
            <w:jc w:val="both"/>
            <w:rPr>
              <w:rFonts w:cs="Arial"/>
              <w:b/>
            </w:rPr>
          </w:pPr>
          <w:r w:rsidRPr="00BD579E">
            <w:rPr>
              <w:rFonts w:cs="Arial"/>
              <w:b/>
            </w:rPr>
            <w:t xml:space="preserve">4. </w:t>
          </w:r>
          <w:r w:rsidR="00BD579E" w:rsidRPr="00BD579E">
            <w:rPr>
              <w:rFonts w:cs="Arial"/>
              <w:b/>
            </w:rPr>
            <w:t>Target Audience</w:t>
          </w:r>
          <w:r w:rsidRPr="00BD579E">
            <w:rPr>
              <w:rFonts w:cs="Arial"/>
              <w:b/>
            </w:rPr>
            <w:ptab w:relativeTo="margin" w:alignment="right" w:leader="dot"/>
          </w:r>
          <w:r w:rsidR="005B6524">
            <w:rPr>
              <w:rFonts w:cs="Arial"/>
              <w:b/>
            </w:rPr>
            <w:t>8</w:t>
          </w:r>
        </w:p>
        <w:p w:rsidR="00501B8B" w:rsidRPr="007D3B75" w:rsidRDefault="00501B8B" w:rsidP="002C6678">
          <w:pPr>
            <w:spacing w:line="480" w:lineRule="auto"/>
            <w:jc w:val="both"/>
            <w:rPr>
              <w:rFonts w:cs="Arial"/>
              <w:b/>
            </w:rPr>
          </w:pPr>
          <w:r w:rsidRPr="007D3B75">
            <w:rPr>
              <w:rFonts w:cs="Arial"/>
              <w:b/>
            </w:rPr>
            <w:t xml:space="preserve">5. </w:t>
          </w:r>
          <w:r w:rsidR="007D3B75" w:rsidRPr="007D3B75">
            <w:rPr>
              <w:rFonts w:cs="Arial"/>
              <w:b/>
            </w:rPr>
            <w:t>Targets and Monitoring</w:t>
          </w:r>
          <w:r w:rsidRPr="007D3B75">
            <w:rPr>
              <w:rFonts w:cs="Arial"/>
              <w:b/>
            </w:rPr>
            <w:ptab w:relativeTo="margin" w:alignment="right" w:leader="dot"/>
          </w:r>
          <w:r w:rsidR="005B6524">
            <w:rPr>
              <w:rFonts w:cs="Arial"/>
              <w:b/>
            </w:rPr>
            <w:t>9</w:t>
          </w:r>
        </w:p>
        <w:p w:rsidR="00501B8B" w:rsidRPr="007D3B75" w:rsidRDefault="007D3B75" w:rsidP="002C6678">
          <w:pPr>
            <w:spacing w:line="480" w:lineRule="auto"/>
            <w:jc w:val="both"/>
            <w:rPr>
              <w:rFonts w:cs="Arial"/>
              <w:b/>
            </w:rPr>
          </w:pPr>
          <w:r w:rsidRPr="007D3B75">
            <w:rPr>
              <w:rFonts w:cs="Arial"/>
              <w:b/>
            </w:rPr>
            <w:t>6. Outcomes</w:t>
          </w:r>
          <w:r w:rsidR="00501B8B" w:rsidRPr="007D3B75">
            <w:rPr>
              <w:rFonts w:cs="Arial"/>
              <w:b/>
            </w:rPr>
            <w:ptab w:relativeTo="margin" w:alignment="right" w:leader="dot"/>
          </w:r>
          <w:r w:rsidR="005B6524">
            <w:rPr>
              <w:rFonts w:cs="Arial"/>
              <w:b/>
            </w:rPr>
            <w:t>10</w:t>
          </w:r>
        </w:p>
        <w:p w:rsidR="00501B8B" w:rsidRPr="007D3B75" w:rsidRDefault="00501B8B" w:rsidP="002C6678">
          <w:pPr>
            <w:spacing w:line="480" w:lineRule="auto"/>
            <w:jc w:val="both"/>
            <w:rPr>
              <w:rFonts w:cs="Arial"/>
              <w:b/>
            </w:rPr>
          </w:pPr>
          <w:r w:rsidRPr="007D3B75">
            <w:rPr>
              <w:rFonts w:cs="Arial"/>
              <w:b/>
            </w:rPr>
            <w:t>7. Contract Value</w:t>
          </w:r>
          <w:r w:rsidR="007D3B75" w:rsidRPr="007D3B75">
            <w:rPr>
              <w:rFonts w:cs="Arial"/>
              <w:b/>
            </w:rPr>
            <w:t xml:space="preserve"> and Duration</w:t>
          </w:r>
          <w:r w:rsidRPr="007D3B75">
            <w:rPr>
              <w:rFonts w:cs="Arial"/>
              <w:b/>
            </w:rPr>
            <w:ptab w:relativeTo="margin" w:alignment="right" w:leader="dot"/>
          </w:r>
          <w:r w:rsidR="00C874D3">
            <w:rPr>
              <w:rFonts w:cs="Arial"/>
              <w:b/>
            </w:rPr>
            <w:t>1</w:t>
          </w:r>
          <w:r w:rsidR="005B6524">
            <w:rPr>
              <w:rFonts w:cs="Arial"/>
              <w:b/>
            </w:rPr>
            <w:t>1</w:t>
          </w:r>
        </w:p>
        <w:p w:rsidR="00501B8B" w:rsidRPr="007D3B75" w:rsidRDefault="00501B8B" w:rsidP="002C6678">
          <w:pPr>
            <w:spacing w:line="480" w:lineRule="auto"/>
            <w:jc w:val="both"/>
            <w:rPr>
              <w:rFonts w:cs="Arial"/>
              <w:b/>
            </w:rPr>
          </w:pPr>
          <w:r w:rsidRPr="007D3B75">
            <w:rPr>
              <w:rFonts w:cs="Arial"/>
              <w:b/>
            </w:rPr>
            <w:t>8. Compliance</w:t>
          </w:r>
          <w:r w:rsidRPr="007D3B75">
            <w:rPr>
              <w:rFonts w:cs="Arial"/>
              <w:b/>
            </w:rPr>
            <w:ptab w:relativeTo="margin" w:alignment="right" w:leader="dot"/>
          </w:r>
          <w:r w:rsidR="003E2090">
            <w:rPr>
              <w:rFonts w:cs="Arial"/>
              <w:b/>
            </w:rPr>
            <w:t>1</w:t>
          </w:r>
          <w:r w:rsidR="00691DBE">
            <w:rPr>
              <w:rFonts w:cs="Arial"/>
              <w:b/>
            </w:rPr>
            <w:t>2</w:t>
          </w:r>
        </w:p>
        <w:p w:rsidR="00501B8B" w:rsidRPr="007D3B75" w:rsidRDefault="00501B8B" w:rsidP="002C6678">
          <w:pPr>
            <w:spacing w:line="480" w:lineRule="auto"/>
            <w:jc w:val="both"/>
            <w:rPr>
              <w:rFonts w:cs="Arial"/>
              <w:b/>
            </w:rPr>
          </w:pPr>
          <w:r w:rsidRPr="007D3B75">
            <w:rPr>
              <w:rFonts w:cs="Arial"/>
              <w:b/>
            </w:rPr>
            <w:t>9. Safeguarding</w:t>
          </w:r>
          <w:r w:rsidRPr="007D3B75">
            <w:rPr>
              <w:rFonts w:cs="Arial"/>
              <w:b/>
            </w:rPr>
            <w:ptab w:relativeTo="margin" w:alignment="right" w:leader="dot"/>
          </w:r>
          <w:r w:rsidR="003E2090">
            <w:rPr>
              <w:rFonts w:cs="Arial"/>
              <w:b/>
            </w:rPr>
            <w:t>1</w:t>
          </w:r>
          <w:r w:rsidR="005B6524">
            <w:rPr>
              <w:rFonts w:cs="Arial"/>
              <w:b/>
            </w:rPr>
            <w:t>2</w:t>
          </w:r>
        </w:p>
        <w:p w:rsidR="00501B8B" w:rsidRPr="007D3B75" w:rsidRDefault="00501B8B" w:rsidP="002C6678">
          <w:pPr>
            <w:spacing w:line="480" w:lineRule="auto"/>
            <w:jc w:val="both"/>
            <w:rPr>
              <w:rFonts w:cs="Arial"/>
              <w:b/>
            </w:rPr>
          </w:pPr>
          <w:r w:rsidRPr="007D3B75">
            <w:rPr>
              <w:rFonts w:cs="Arial"/>
              <w:b/>
            </w:rPr>
            <w:lastRenderedPageBreak/>
            <w:t>10. Staffing</w:t>
          </w:r>
          <w:r w:rsidRPr="007D3B75">
            <w:rPr>
              <w:rFonts w:cs="Arial"/>
              <w:b/>
            </w:rPr>
            <w:ptab w:relativeTo="margin" w:alignment="right" w:leader="dot"/>
          </w:r>
          <w:r w:rsidRPr="007D3B75">
            <w:rPr>
              <w:rFonts w:cs="Arial"/>
              <w:b/>
            </w:rPr>
            <w:t>1</w:t>
          </w:r>
          <w:r w:rsidR="00691DBE">
            <w:rPr>
              <w:rFonts w:cs="Arial"/>
              <w:b/>
            </w:rPr>
            <w:t>3</w:t>
          </w:r>
        </w:p>
        <w:p w:rsidR="00501B8B" w:rsidRPr="007D3B75" w:rsidRDefault="00D15F19" w:rsidP="002C6678">
          <w:pPr>
            <w:spacing w:line="480" w:lineRule="auto"/>
            <w:jc w:val="both"/>
            <w:rPr>
              <w:rFonts w:cs="Arial"/>
              <w:b/>
            </w:rPr>
          </w:pPr>
          <w:r>
            <w:rPr>
              <w:rFonts w:cs="Arial"/>
              <w:b/>
            </w:rPr>
            <w:t xml:space="preserve">11. </w:t>
          </w:r>
          <w:r w:rsidR="00501B8B" w:rsidRPr="007D3B75">
            <w:rPr>
              <w:rFonts w:cs="Arial"/>
              <w:b/>
            </w:rPr>
            <w:t>Appendix</w:t>
          </w:r>
          <w:r w:rsidR="00766B98" w:rsidRPr="007D3B75">
            <w:rPr>
              <w:rFonts w:cs="Arial"/>
              <w:b/>
            </w:rPr>
            <w:ptab w:relativeTo="margin" w:alignment="right" w:leader="dot"/>
          </w:r>
          <w:r w:rsidR="00766B98" w:rsidRPr="007D3B75">
            <w:rPr>
              <w:rFonts w:cs="Arial"/>
              <w:b/>
            </w:rPr>
            <w:t>1</w:t>
          </w:r>
          <w:r w:rsidR="005B6524">
            <w:rPr>
              <w:rFonts w:cs="Arial"/>
              <w:b/>
            </w:rPr>
            <w:t>4</w:t>
          </w:r>
        </w:p>
        <w:p w:rsidR="00D15F19" w:rsidRDefault="00501B8B" w:rsidP="002C6678">
          <w:pPr>
            <w:spacing w:line="480" w:lineRule="auto"/>
            <w:jc w:val="both"/>
            <w:rPr>
              <w:rFonts w:cs="Arial"/>
            </w:rPr>
          </w:pPr>
          <w:r w:rsidRPr="007D3B75">
            <w:rPr>
              <w:rFonts w:cs="Arial"/>
            </w:rPr>
            <w:t xml:space="preserve">Appendix 1 – Strategic </w:t>
          </w:r>
          <w:r w:rsidR="00766B98" w:rsidRPr="007D3B75">
            <w:rPr>
              <w:rFonts w:cs="Arial"/>
            </w:rPr>
            <w:t>Alignment</w:t>
          </w:r>
          <w:r w:rsidRPr="007D3B75">
            <w:rPr>
              <w:rFonts w:cs="Arial"/>
            </w:rPr>
            <w:ptab w:relativeTo="margin" w:alignment="right" w:leader="dot"/>
          </w:r>
          <w:r w:rsidR="00766B98" w:rsidRPr="007D3B75">
            <w:rPr>
              <w:rFonts w:cs="Arial"/>
            </w:rPr>
            <w:t>1</w:t>
          </w:r>
          <w:r w:rsidR="005B6524">
            <w:rPr>
              <w:rFonts w:cs="Arial"/>
            </w:rPr>
            <w:t>4</w:t>
          </w:r>
        </w:p>
        <w:p w:rsidR="00501B8B" w:rsidRPr="000F559F" w:rsidRDefault="00D15F19" w:rsidP="002C6678">
          <w:pPr>
            <w:spacing w:line="480" w:lineRule="auto"/>
            <w:jc w:val="both"/>
            <w:rPr>
              <w:rFonts w:cs="Arial"/>
              <w:b/>
              <w:color w:val="7030A0"/>
            </w:rPr>
          </w:pPr>
          <w:r>
            <w:rPr>
              <w:rFonts w:cs="Arial"/>
            </w:rPr>
            <w:t>Appendix 2 – Anti-social Behaviour Figures …………………………………………… 1</w:t>
          </w:r>
          <w:r w:rsidR="005B6524">
            <w:rPr>
              <w:rFonts w:cs="Arial"/>
            </w:rPr>
            <w:t>7</w:t>
          </w:r>
        </w:p>
      </w:sdtContent>
    </w:sdt>
    <w:p w:rsidR="003256E2" w:rsidRPr="00501B8B" w:rsidRDefault="003256E2" w:rsidP="002C6678">
      <w:pPr>
        <w:spacing w:line="480" w:lineRule="auto"/>
        <w:rPr>
          <w:rFonts w:cs="Arial"/>
        </w:rPr>
      </w:pPr>
      <w:r w:rsidRPr="00501B8B">
        <w:rPr>
          <w:rFonts w:cs="Arial"/>
        </w:rPr>
        <w:br w:type="page"/>
      </w:r>
    </w:p>
    <w:p w:rsidR="008207B6" w:rsidRPr="00501B8B" w:rsidRDefault="008207B6" w:rsidP="002C6678">
      <w:pPr>
        <w:pStyle w:val="ListParagraph"/>
        <w:numPr>
          <w:ilvl w:val="3"/>
          <w:numId w:val="1"/>
        </w:numPr>
        <w:spacing w:line="360" w:lineRule="auto"/>
        <w:rPr>
          <w:rFonts w:cs="Arial"/>
          <w:b/>
        </w:rPr>
      </w:pPr>
      <w:r w:rsidRPr="00501B8B">
        <w:rPr>
          <w:rFonts w:cs="Arial"/>
          <w:b/>
        </w:rPr>
        <w:lastRenderedPageBreak/>
        <w:t>Background Information</w:t>
      </w:r>
    </w:p>
    <w:p w:rsidR="008207B6" w:rsidRPr="00501B8B" w:rsidRDefault="008207B6" w:rsidP="002C6678">
      <w:pPr>
        <w:spacing w:line="360" w:lineRule="auto"/>
        <w:rPr>
          <w:rFonts w:cs="Arial"/>
        </w:rPr>
      </w:pPr>
    </w:p>
    <w:p w:rsidR="00BF5DA5" w:rsidRPr="00501B8B" w:rsidRDefault="00236570" w:rsidP="002C6678">
      <w:pPr>
        <w:autoSpaceDE w:val="0"/>
        <w:autoSpaceDN w:val="0"/>
        <w:adjustRightInd w:val="0"/>
        <w:spacing w:line="360" w:lineRule="auto"/>
        <w:jc w:val="both"/>
        <w:rPr>
          <w:rFonts w:cs="Arial"/>
          <w:b/>
        </w:rPr>
      </w:pPr>
      <w:r w:rsidRPr="00501B8B">
        <w:rPr>
          <w:rFonts w:cs="Arial"/>
          <w:b/>
        </w:rPr>
        <w:t xml:space="preserve">National and Local </w:t>
      </w:r>
      <w:r w:rsidR="00BF5DA5" w:rsidRPr="00501B8B">
        <w:rPr>
          <w:rFonts w:cs="Arial"/>
          <w:b/>
        </w:rPr>
        <w:t xml:space="preserve">Context </w:t>
      </w:r>
    </w:p>
    <w:p w:rsidR="00BF5DA5" w:rsidRPr="00501B8B" w:rsidRDefault="00BF5DA5" w:rsidP="002C6678">
      <w:pPr>
        <w:autoSpaceDE w:val="0"/>
        <w:autoSpaceDN w:val="0"/>
        <w:adjustRightInd w:val="0"/>
        <w:spacing w:line="360" w:lineRule="auto"/>
        <w:jc w:val="both"/>
        <w:rPr>
          <w:rFonts w:cs="Arial"/>
        </w:rPr>
      </w:pPr>
    </w:p>
    <w:p w:rsidR="00805A1A" w:rsidRDefault="00805A1A" w:rsidP="00805A1A">
      <w:pPr>
        <w:autoSpaceDE w:val="0"/>
        <w:autoSpaceDN w:val="0"/>
        <w:adjustRightInd w:val="0"/>
        <w:spacing w:line="360" w:lineRule="auto"/>
        <w:jc w:val="both"/>
        <w:rPr>
          <w:rFonts w:cs="Arial"/>
        </w:rPr>
      </w:pPr>
      <w:r w:rsidRPr="00501B8B">
        <w:rPr>
          <w:rFonts w:cs="Arial"/>
        </w:rPr>
        <w:t xml:space="preserve">The growth in Salford and the city-region provides huge opportunity for </w:t>
      </w:r>
      <w:r>
        <w:rPr>
          <w:rFonts w:cs="Arial"/>
        </w:rPr>
        <w:t xml:space="preserve">Little Hulton </w:t>
      </w:r>
      <w:r w:rsidR="008B2473">
        <w:rPr>
          <w:rFonts w:cs="Arial"/>
        </w:rPr>
        <w:t xml:space="preserve">(LH) </w:t>
      </w:r>
      <w:r>
        <w:rPr>
          <w:rFonts w:cs="Arial"/>
        </w:rPr>
        <w:t>residents</w:t>
      </w:r>
      <w:r w:rsidRPr="00501B8B">
        <w:rPr>
          <w:rFonts w:cs="Arial"/>
        </w:rPr>
        <w:t>,</w:t>
      </w:r>
      <w:r>
        <w:rPr>
          <w:rFonts w:cs="Arial"/>
        </w:rPr>
        <w:t xml:space="preserve"> however</w:t>
      </w:r>
      <w:r w:rsidRPr="00501B8B">
        <w:rPr>
          <w:rFonts w:cs="Arial"/>
        </w:rPr>
        <w:t xml:space="preserve"> many young people still face major challenges to access and </w:t>
      </w:r>
      <w:r>
        <w:rPr>
          <w:rFonts w:cs="Arial"/>
        </w:rPr>
        <w:t>progress into</w:t>
      </w:r>
      <w:r w:rsidRPr="00501B8B">
        <w:rPr>
          <w:rFonts w:cs="Arial"/>
        </w:rPr>
        <w:t xml:space="preserve"> EET</w:t>
      </w:r>
      <w:r>
        <w:rPr>
          <w:rFonts w:cs="Arial"/>
        </w:rPr>
        <w:t xml:space="preserve"> (education, employment and training)</w:t>
      </w:r>
      <w:r w:rsidRPr="00501B8B">
        <w:rPr>
          <w:rFonts w:cs="Arial"/>
        </w:rPr>
        <w:t xml:space="preserve">. </w:t>
      </w:r>
    </w:p>
    <w:p w:rsidR="00805A1A" w:rsidRDefault="00805A1A" w:rsidP="00805A1A">
      <w:pPr>
        <w:autoSpaceDE w:val="0"/>
        <w:autoSpaceDN w:val="0"/>
        <w:adjustRightInd w:val="0"/>
        <w:spacing w:line="360" w:lineRule="auto"/>
        <w:jc w:val="both"/>
        <w:rPr>
          <w:rFonts w:cs="Arial"/>
        </w:rPr>
      </w:pPr>
    </w:p>
    <w:p w:rsidR="00805A1A" w:rsidRPr="00501B8B" w:rsidRDefault="00805A1A" w:rsidP="00805A1A">
      <w:pPr>
        <w:autoSpaceDE w:val="0"/>
        <w:autoSpaceDN w:val="0"/>
        <w:adjustRightInd w:val="0"/>
        <w:spacing w:line="360" w:lineRule="auto"/>
        <w:jc w:val="both"/>
        <w:rPr>
          <w:rFonts w:cs="Arial"/>
        </w:rPr>
      </w:pPr>
      <w:r>
        <w:rPr>
          <w:rFonts w:cs="Arial"/>
        </w:rPr>
        <w:t>Some young people</w:t>
      </w:r>
      <w:r w:rsidRPr="00501B8B">
        <w:rPr>
          <w:rFonts w:cs="Arial"/>
        </w:rPr>
        <w:t xml:space="preserve"> face multiple barriers, linked to issues such as skills, health, disability, debt, child care, housing and t</w:t>
      </w:r>
      <w:r w:rsidR="008B2473">
        <w:rPr>
          <w:rFonts w:cs="Arial"/>
        </w:rPr>
        <w:t>ransport. It is therefore vit</w:t>
      </w:r>
      <w:r w:rsidRPr="00501B8B">
        <w:rPr>
          <w:rFonts w:cs="Arial"/>
        </w:rPr>
        <w:t>al that growth helps to address, rather than exacerbate, the situation for these residents and that the actions are linked to Salford and G</w:t>
      </w:r>
      <w:r w:rsidR="008B2473">
        <w:rPr>
          <w:rFonts w:cs="Arial"/>
        </w:rPr>
        <w:t>reater Manchester (G</w:t>
      </w:r>
      <w:r w:rsidRPr="00501B8B">
        <w:rPr>
          <w:rFonts w:cs="Arial"/>
        </w:rPr>
        <w:t>M</w:t>
      </w:r>
      <w:r w:rsidR="008B2473">
        <w:rPr>
          <w:rFonts w:cs="Arial"/>
        </w:rPr>
        <w:t>)</w:t>
      </w:r>
      <w:r w:rsidRPr="00501B8B">
        <w:rPr>
          <w:rFonts w:cs="Arial"/>
        </w:rPr>
        <w:t xml:space="preserve"> strategic priorities (see </w:t>
      </w:r>
      <w:r w:rsidR="00D15F19" w:rsidRPr="00501B8B">
        <w:rPr>
          <w:rFonts w:cs="Arial"/>
        </w:rPr>
        <w:t>Appendi</w:t>
      </w:r>
      <w:r w:rsidR="00D15F19">
        <w:rPr>
          <w:rFonts w:cs="Arial"/>
        </w:rPr>
        <w:t>x</w:t>
      </w:r>
      <w:r w:rsidRPr="00501B8B">
        <w:rPr>
          <w:rFonts w:cs="Arial"/>
        </w:rPr>
        <w:t xml:space="preserve"> 1).</w:t>
      </w:r>
    </w:p>
    <w:p w:rsidR="00805A1A" w:rsidRDefault="00805A1A" w:rsidP="00F66C48">
      <w:pPr>
        <w:autoSpaceDE w:val="0"/>
        <w:autoSpaceDN w:val="0"/>
        <w:adjustRightInd w:val="0"/>
        <w:spacing w:line="360" w:lineRule="auto"/>
        <w:jc w:val="both"/>
        <w:rPr>
          <w:rFonts w:cs="Arial"/>
        </w:rPr>
      </w:pPr>
    </w:p>
    <w:p w:rsidR="00F66C48" w:rsidRDefault="00F66C48" w:rsidP="00FA2977">
      <w:pPr>
        <w:autoSpaceDE w:val="0"/>
        <w:autoSpaceDN w:val="0"/>
        <w:adjustRightInd w:val="0"/>
        <w:spacing w:line="360" w:lineRule="auto"/>
        <w:jc w:val="both"/>
        <w:rPr>
          <w:rFonts w:cs="Arial"/>
        </w:rPr>
      </w:pPr>
      <w:r w:rsidRPr="00501B8B">
        <w:rPr>
          <w:rFonts w:cs="Arial"/>
        </w:rPr>
        <w:lastRenderedPageBreak/>
        <w:t>Salford has seen an improved skills profile over recent years, however, there remains a significant proportion of residents with low or no qualifications. Salford has the highest rate of young people who are not in education, employment</w:t>
      </w:r>
      <w:r>
        <w:rPr>
          <w:rFonts w:cs="Arial"/>
        </w:rPr>
        <w:t xml:space="preserve"> or training (NEET)</w:t>
      </w:r>
      <w:r w:rsidRPr="00501B8B">
        <w:rPr>
          <w:rFonts w:cs="Arial"/>
        </w:rPr>
        <w:t xml:space="preserve"> in GM and the third highest nationally, although when combined with the destination ‘not known’ measure, the picture for young people compares more favourably with many local authority areas. </w:t>
      </w:r>
    </w:p>
    <w:p w:rsidR="00F5323E" w:rsidRDefault="00F5323E" w:rsidP="00FA2977">
      <w:pPr>
        <w:autoSpaceDE w:val="0"/>
        <w:autoSpaceDN w:val="0"/>
        <w:adjustRightInd w:val="0"/>
        <w:spacing w:line="360" w:lineRule="auto"/>
        <w:jc w:val="both"/>
        <w:rPr>
          <w:rFonts w:cs="Arial"/>
        </w:rPr>
      </w:pPr>
    </w:p>
    <w:p w:rsidR="00FA2977" w:rsidRDefault="00F5323E" w:rsidP="00FA2977">
      <w:pPr>
        <w:spacing w:line="360" w:lineRule="auto"/>
        <w:jc w:val="both"/>
      </w:pPr>
      <w:r>
        <w:t>In April 2018, LH was the highest NEET % Ward in Salford.</w:t>
      </w:r>
      <w:r>
        <w:rPr>
          <w:rFonts w:ascii="Calibri" w:hAnsi="Calibri"/>
          <w:sz w:val="22"/>
          <w:szCs w:val="22"/>
        </w:rPr>
        <w:t xml:space="preserve"> </w:t>
      </w:r>
      <w:r w:rsidR="00FA2977">
        <w:t xml:space="preserve">The NEET figures for LH and Salford, compared to last year are; </w:t>
      </w:r>
    </w:p>
    <w:p w:rsidR="00F5323E" w:rsidRPr="00F5323E" w:rsidRDefault="00F5323E" w:rsidP="00FA2977">
      <w:pPr>
        <w:spacing w:line="360" w:lineRule="auto"/>
        <w:jc w:val="both"/>
        <w:rPr>
          <w:rFonts w:ascii="Calibri" w:hAnsi="Calibri"/>
          <w:sz w:val="22"/>
          <w:szCs w:val="22"/>
        </w:rPr>
      </w:pPr>
    </w:p>
    <w:tbl>
      <w:tblPr>
        <w:tblStyle w:val="TableGrid"/>
        <w:tblW w:w="7861" w:type="dxa"/>
        <w:tblLook w:val="04A0" w:firstRow="1" w:lastRow="0" w:firstColumn="1" w:lastColumn="0" w:noHBand="0" w:noVBand="1"/>
      </w:tblPr>
      <w:tblGrid>
        <w:gridCol w:w="1557"/>
        <w:gridCol w:w="1487"/>
        <w:gridCol w:w="920"/>
        <w:gridCol w:w="993"/>
        <w:gridCol w:w="1628"/>
        <w:gridCol w:w="1276"/>
      </w:tblGrid>
      <w:tr w:rsidR="00F5323E" w:rsidTr="00F5323E">
        <w:tc>
          <w:tcPr>
            <w:tcW w:w="1557" w:type="dxa"/>
          </w:tcPr>
          <w:p w:rsidR="00F5323E" w:rsidRDefault="00F5323E" w:rsidP="00F5323E">
            <w:pPr>
              <w:spacing w:line="360" w:lineRule="auto"/>
              <w:jc w:val="both"/>
            </w:pPr>
          </w:p>
        </w:tc>
        <w:tc>
          <w:tcPr>
            <w:tcW w:w="1487" w:type="dxa"/>
          </w:tcPr>
          <w:p w:rsidR="00F5323E" w:rsidRPr="00F5323E" w:rsidRDefault="00F5323E" w:rsidP="00580593">
            <w:pPr>
              <w:spacing w:line="360" w:lineRule="auto"/>
              <w:jc w:val="center"/>
              <w:rPr>
                <w:b/>
                <w:sz w:val="20"/>
              </w:rPr>
            </w:pPr>
            <w:r w:rsidRPr="00F5323E">
              <w:rPr>
                <w:b/>
                <w:sz w:val="20"/>
              </w:rPr>
              <w:t>Date</w:t>
            </w:r>
          </w:p>
        </w:tc>
        <w:tc>
          <w:tcPr>
            <w:tcW w:w="920" w:type="dxa"/>
          </w:tcPr>
          <w:p w:rsidR="00F5323E" w:rsidRPr="00F5323E" w:rsidRDefault="00F5323E" w:rsidP="00F5323E">
            <w:pPr>
              <w:spacing w:line="360" w:lineRule="auto"/>
              <w:jc w:val="center"/>
              <w:rPr>
                <w:b/>
                <w:sz w:val="20"/>
              </w:rPr>
            </w:pPr>
            <w:r w:rsidRPr="00F5323E">
              <w:rPr>
                <w:b/>
                <w:sz w:val="20"/>
              </w:rPr>
              <w:t>Cohort</w:t>
            </w:r>
          </w:p>
        </w:tc>
        <w:tc>
          <w:tcPr>
            <w:tcW w:w="993" w:type="dxa"/>
          </w:tcPr>
          <w:p w:rsidR="00F5323E" w:rsidRPr="00F5323E" w:rsidRDefault="00F5323E" w:rsidP="00F5323E">
            <w:pPr>
              <w:spacing w:line="360" w:lineRule="auto"/>
              <w:jc w:val="center"/>
              <w:rPr>
                <w:b/>
                <w:sz w:val="20"/>
              </w:rPr>
            </w:pPr>
            <w:r>
              <w:rPr>
                <w:b/>
                <w:sz w:val="20"/>
              </w:rPr>
              <w:t>NEET</w:t>
            </w:r>
          </w:p>
        </w:tc>
        <w:tc>
          <w:tcPr>
            <w:tcW w:w="1628" w:type="dxa"/>
          </w:tcPr>
          <w:p w:rsidR="00F5323E" w:rsidRPr="00F5323E" w:rsidRDefault="00F5323E" w:rsidP="00F5323E">
            <w:pPr>
              <w:spacing w:line="360" w:lineRule="auto"/>
              <w:jc w:val="center"/>
              <w:rPr>
                <w:b/>
                <w:sz w:val="20"/>
              </w:rPr>
            </w:pPr>
            <w:r>
              <w:rPr>
                <w:b/>
                <w:sz w:val="20"/>
              </w:rPr>
              <w:t xml:space="preserve">Little Hulton </w:t>
            </w:r>
            <w:r w:rsidRPr="00F5323E">
              <w:rPr>
                <w:b/>
                <w:sz w:val="20"/>
              </w:rPr>
              <w:t>%</w:t>
            </w:r>
          </w:p>
        </w:tc>
        <w:tc>
          <w:tcPr>
            <w:tcW w:w="1276" w:type="dxa"/>
          </w:tcPr>
          <w:p w:rsidR="00F5323E" w:rsidRPr="00F5323E" w:rsidRDefault="00F5323E" w:rsidP="00F5323E">
            <w:pPr>
              <w:spacing w:line="360" w:lineRule="auto"/>
              <w:jc w:val="center"/>
              <w:rPr>
                <w:b/>
                <w:sz w:val="20"/>
              </w:rPr>
            </w:pPr>
            <w:r w:rsidRPr="00F5323E">
              <w:rPr>
                <w:b/>
                <w:sz w:val="20"/>
              </w:rPr>
              <w:t>Salford %</w:t>
            </w:r>
          </w:p>
        </w:tc>
      </w:tr>
      <w:tr w:rsidR="00F5323E" w:rsidTr="00F5323E">
        <w:tc>
          <w:tcPr>
            <w:tcW w:w="1557" w:type="dxa"/>
            <w:vMerge w:val="restart"/>
          </w:tcPr>
          <w:p w:rsidR="00F5323E" w:rsidRPr="00F5323E" w:rsidRDefault="00F5323E" w:rsidP="00F5323E">
            <w:pPr>
              <w:spacing w:line="360" w:lineRule="auto"/>
              <w:jc w:val="center"/>
              <w:rPr>
                <w:sz w:val="20"/>
              </w:rPr>
            </w:pPr>
          </w:p>
          <w:p w:rsidR="00F5323E" w:rsidRPr="00F5323E" w:rsidRDefault="00F5323E" w:rsidP="00F5323E">
            <w:pPr>
              <w:spacing w:line="360" w:lineRule="auto"/>
              <w:jc w:val="center"/>
              <w:rPr>
                <w:b/>
                <w:sz w:val="20"/>
              </w:rPr>
            </w:pPr>
            <w:r w:rsidRPr="00F5323E">
              <w:rPr>
                <w:b/>
                <w:sz w:val="20"/>
              </w:rPr>
              <w:t>Little Hulton</w:t>
            </w:r>
          </w:p>
        </w:tc>
        <w:tc>
          <w:tcPr>
            <w:tcW w:w="1487" w:type="dxa"/>
          </w:tcPr>
          <w:p w:rsidR="00F5323E" w:rsidRPr="00F5323E" w:rsidRDefault="00F5323E" w:rsidP="00F5323E">
            <w:pPr>
              <w:spacing w:line="360" w:lineRule="auto"/>
              <w:jc w:val="center"/>
              <w:rPr>
                <w:sz w:val="20"/>
              </w:rPr>
            </w:pPr>
            <w:r w:rsidRPr="00F5323E">
              <w:rPr>
                <w:sz w:val="20"/>
              </w:rPr>
              <w:t>April 2017</w:t>
            </w:r>
          </w:p>
        </w:tc>
        <w:tc>
          <w:tcPr>
            <w:tcW w:w="920" w:type="dxa"/>
          </w:tcPr>
          <w:p w:rsidR="00F5323E" w:rsidRPr="00F5323E" w:rsidRDefault="00F5323E" w:rsidP="00F5323E">
            <w:pPr>
              <w:spacing w:line="360" w:lineRule="auto"/>
              <w:jc w:val="center"/>
              <w:rPr>
                <w:sz w:val="20"/>
              </w:rPr>
            </w:pPr>
            <w:r>
              <w:rPr>
                <w:sz w:val="20"/>
              </w:rPr>
              <w:t>351</w:t>
            </w:r>
          </w:p>
        </w:tc>
        <w:tc>
          <w:tcPr>
            <w:tcW w:w="993" w:type="dxa"/>
          </w:tcPr>
          <w:p w:rsidR="00F5323E" w:rsidRPr="00F5323E" w:rsidRDefault="00F5323E" w:rsidP="00F5323E">
            <w:pPr>
              <w:spacing w:line="360" w:lineRule="auto"/>
              <w:jc w:val="center"/>
              <w:rPr>
                <w:sz w:val="20"/>
              </w:rPr>
            </w:pPr>
            <w:r>
              <w:rPr>
                <w:sz w:val="20"/>
              </w:rPr>
              <w:t>34</w:t>
            </w:r>
          </w:p>
        </w:tc>
        <w:tc>
          <w:tcPr>
            <w:tcW w:w="1628" w:type="dxa"/>
          </w:tcPr>
          <w:p w:rsidR="00F5323E" w:rsidRPr="000D6625" w:rsidRDefault="00F5323E" w:rsidP="00F5323E">
            <w:pPr>
              <w:spacing w:line="360" w:lineRule="auto"/>
              <w:jc w:val="center"/>
              <w:rPr>
                <w:color w:val="FF0000"/>
                <w:sz w:val="20"/>
              </w:rPr>
            </w:pPr>
            <w:r w:rsidRPr="000D6625">
              <w:rPr>
                <w:color w:val="FF0000"/>
                <w:sz w:val="20"/>
              </w:rPr>
              <w:t>9.69%</w:t>
            </w:r>
          </w:p>
        </w:tc>
        <w:tc>
          <w:tcPr>
            <w:tcW w:w="1276" w:type="dxa"/>
          </w:tcPr>
          <w:p w:rsidR="00F5323E" w:rsidRPr="00F5323E" w:rsidRDefault="00F5323E" w:rsidP="00F5323E">
            <w:pPr>
              <w:spacing w:line="360" w:lineRule="auto"/>
              <w:jc w:val="center"/>
              <w:rPr>
                <w:sz w:val="20"/>
              </w:rPr>
            </w:pPr>
            <w:r>
              <w:rPr>
                <w:sz w:val="20"/>
              </w:rPr>
              <w:t>6.15%</w:t>
            </w:r>
          </w:p>
        </w:tc>
      </w:tr>
      <w:tr w:rsidR="00F5323E" w:rsidTr="00F5323E">
        <w:tc>
          <w:tcPr>
            <w:tcW w:w="1557" w:type="dxa"/>
            <w:vMerge/>
          </w:tcPr>
          <w:p w:rsidR="00F5323E" w:rsidRPr="00F5323E" w:rsidRDefault="00F5323E" w:rsidP="00F5323E">
            <w:pPr>
              <w:spacing w:line="360" w:lineRule="auto"/>
              <w:jc w:val="center"/>
              <w:rPr>
                <w:sz w:val="20"/>
              </w:rPr>
            </w:pPr>
          </w:p>
        </w:tc>
        <w:tc>
          <w:tcPr>
            <w:tcW w:w="1487" w:type="dxa"/>
          </w:tcPr>
          <w:p w:rsidR="00F5323E" w:rsidRPr="00F5323E" w:rsidRDefault="00F5323E" w:rsidP="00F5323E">
            <w:pPr>
              <w:spacing w:line="360" w:lineRule="auto"/>
              <w:jc w:val="center"/>
              <w:rPr>
                <w:sz w:val="20"/>
              </w:rPr>
            </w:pPr>
            <w:r w:rsidRPr="00F5323E">
              <w:rPr>
                <w:sz w:val="20"/>
              </w:rPr>
              <w:t>July 2017</w:t>
            </w:r>
          </w:p>
        </w:tc>
        <w:tc>
          <w:tcPr>
            <w:tcW w:w="920" w:type="dxa"/>
          </w:tcPr>
          <w:p w:rsidR="00F5323E" w:rsidRPr="00F5323E" w:rsidRDefault="00F5323E" w:rsidP="00F5323E">
            <w:pPr>
              <w:spacing w:line="360" w:lineRule="auto"/>
              <w:jc w:val="center"/>
              <w:rPr>
                <w:sz w:val="20"/>
              </w:rPr>
            </w:pPr>
            <w:r w:rsidRPr="00F5323E">
              <w:rPr>
                <w:sz w:val="20"/>
              </w:rPr>
              <w:t>541</w:t>
            </w:r>
          </w:p>
        </w:tc>
        <w:tc>
          <w:tcPr>
            <w:tcW w:w="993" w:type="dxa"/>
          </w:tcPr>
          <w:p w:rsidR="00F5323E" w:rsidRPr="00F5323E" w:rsidRDefault="00F5323E" w:rsidP="00F5323E">
            <w:pPr>
              <w:spacing w:line="360" w:lineRule="auto"/>
              <w:jc w:val="center"/>
              <w:rPr>
                <w:sz w:val="20"/>
              </w:rPr>
            </w:pPr>
            <w:r w:rsidRPr="00F5323E">
              <w:rPr>
                <w:sz w:val="20"/>
              </w:rPr>
              <w:t>63</w:t>
            </w:r>
          </w:p>
        </w:tc>
        <w:tc>
          <w:tcPr>
            <w:tcW w:w="1628" w:type="dxa"/>
          </w:tcPr>
          <w:p w:rsidR="00F5323E" w:rsidRPr="000D6625" w:rsidRDefault="00F5323E" w:rsidP="00F5323E">
            <w:pPr>
              <w:spacing w:line="360" w:lineRule="auto"/>
              <w:jc w:val="center"/>
              <w:rPr>
                <w:color w:val="FF0000"/>
                <w:sz w:val="20"/>
              </w:rPr>
            </w:pPr>
            <w:r w:rsidRPr="000D6625">
              <w:rPr>
                <w:color w:val="FF0000"/>
                <w:sz w:val="20"/>
              </w:rPr>
              <w:t>11.65%</w:t>
            </w:r>
          </w:p>
        </w:tc>
        <w:tc>
          <w:tcPr>
            <w:tcW w:w="1276" w:type="dxa"/>
          </w:tcPr>
          <w:p w:rsidR="00F5323E" w:rsidRPr="00F5323E" w:rsidRDefault="00F5323E" w:rsidP="00F5323E">
            <w:pPr>
              <w:spacing w:line="360" w:lineRule="auto"/>
              <w:jc w:val="center"/>
              <w:rPr>
                <w:sz w:val="20"/>
              </w:rPr>
            </w:pPr>
            <w:r w:rsidRPr="00F5323E">
              <w:rPr>
                <w:sz w:val="20"/>
              </w:rPr>
              <w:t>7.23%</w:t>
            </w:r>
          </w:p>
        </w:tc>
      </w:tr>
      <w:tr w:rsidR="00F5323E" w:rsidTr="00F5323E">
        <w:tc>
          <w:tcPr>
            <w:tcW w:w="1557" w:type="dxa"/>
            <w:vMerge/>
          </w:tcPr>
          <w:p w:rsidR="00F5323E" w:rsidRPr="00F5323E" w:rsidRDefault="00F5323E" w:rsidP="00F5323E">
            <w:pPr>
              <w:spacing w:line="360" w:lineRule="auto"/>
              <w:jc w:val="center"/>
              <w:rPr>
                <w:sz w:val="20"/>
              </w:rPr>
            </w:pPr>
          </w:p>
        </w:tc>
        <w:tc>
          <w:tcPr>
            <w:tcW w:w="1487" w:type="dxa"/>
          </w:tcPr>
          <w:p w:rsidR="00F5323E" w:rsidRPr="00F5323E" w:rsidRDefault="00F5323E" w:rsidP="00F5323E">
            <w:pPr>
              <w:spacing w:line="360" w:lineRule="auto"/>
              <w:jc w:val="center"/>
              <w:rPr>
                <w:sz w:val="20"/>
              </w:rPr>
            </w:pPr>
            <w:r w:rsidRPr="00F5323E">
              <w:rPr>
                <w:sz w:val="20"/>
              </w:rPr>
              <w:t>April 2018</w:t>
            </w:r>
          </w:p>
        </w:tc>
        <w:tc>
          <w:tcPr>
            <w:tcW w:w="920" w:type="dxa"/>
          </w:tcPr>
          <w:p w:rsidR="00F5323E" w:rsidRPr="00F5323E" w:rsidRDefault="00F5323E" w:rsidP="00F5323E">
            <w:pPr>
              <w:spacing w:line="360" w:lineRule="auto"/>
              <w:jc w:val="center"/>
              <w:rPr>
                <w:sz w:val="20"/>
              </w:rPr>
            </w:pPr>
            <w:r>
              <w:rPr>
                <w:sz w:val="20"/>
              </w:rPr>
              <w:t>547</w:t>
            </w:r>
          </w:p>
        </w:tc>
        <w:tc>
          <w:tcPr>
            <w:tcW w:w="993" w:type="dxa"/>
          </w:tcPr>
          <w:p w:rsidR="00F5323E" w:rsidRPr="00F5323E" w:rsidRDefault="00F5323E" w:rsidP="00F5323E">
            <w:pPr>
              <w:spacing w:line="360" w:lineRule="auto"/>
              <w:jc w:val="center"/>
              <w:rPr>
                <w:sz w:val="20"/>
              </w:rPr>
            </w:pPr>
            <w:r>
              <w:rPr>
                <w:sz w:val="20"/>
              </w:rPr>
              <w:t>68</w:t>
            </w:r>
          </w:p>
        </w:tc>
        <w:tc>
          <w:tcPr>
            <w:tcW w:w="1628" w:type="dxa"/>
          </w:tcPr>
          <w:p w:rsidR="00F5323E" w:rsidRPr="000D6625" w:rsidRDefault="00F5323E" w:rsidP="00F5323E">
            <w:pPr>
              <w:spacing w:line="360" w:lineRule="auto"/>
              <w:jc w:val="center"/>
              <w:rPr>
                <w:color w:val="FF0000"/>
                <w:sz w:val="20"/>
              </w:rPr>
            </w:pPr>
            <w:r w:rsidRPr="000D6625">
              <w:rPr>
                <w:color w:val="FF0000"/>
                <w:sz w:val="20"/>
              </w:rPr>
              <w:t>12.43%</w:t>
            </w:r>
          </w:p>
        </w:tc>
        <w:tc>
          <w:tcPr>
            <w:tcW w:w="1276" w:type="dxa"/>
          </w:tcPr>
          <w:p w:rsidR="00F5323E" w:rsidRPr="00F5323E" w:rsidRDefault="00F5323E" w:rsidP="00F5323E">
            <w:pPr>
              <w:spacing w:line="360" w:lineRule="auto"/>
              <w:jc w:val="center"/>
              <w:rPr>
                <w:sz w:val="20"/>
              </w:rPr>
            </w:pPr>
            <w:r>
              <w:rPr>
                <w:sz w:val="20"/>
              </w:rPr>
              <w:t>7.14%</w:t>
            </w:r>
          </w:p>
        </w:tc>
      </w:tr>
      <w:tr w:rsidR="00F5323E" w:rsidTr="00F5323E">
        <w:tc>
          <w:tcPr>
            <w:tcW w:w="1557" w:type="dxa"/>
            <w:vMerge/>
          </w:tcPr>
          <w:p w:rsidR="00F5323E" w:rsidRPr="00F5323E" w:rsidRDefault="00F5323E" w:rsidP="00F5323E">
            <w:pPr>
              <w:spacing w:line="360" w:lineRule="auto"/>
              <w:jc w:val="center"/>
              <w:rPr>
                <w:sz w:val="20"/>
              </w:rPr>
            </w:pPr>
          </w:p>
        </w:tc>
        <w:tc>
          <w:tcPr>
            <w:tcW w:w="1487" w:type="dxa"/>
          </w:tcPr>
          <w:p w:rsidR="00F5323E" w:rsidRPr="00F5323E" w:rsidRDefault="00F5323E" w:rsidP="00F5323E">
            <w:pPr>
              <w:spacing w:line="360" w:lineRule="auto"/>
              <w:jc w:val="center"/>
              <w:rPr>
                <w:sz w:val="20"/>
              </w:rPr>
            </w:pPr>
            <w:r w:rsidRPr="00F5323E">
              <w:rPr>
                <w:sz w:val="20"/>
              </w:rPr>
              <w:t>July 2018</w:t>
            </w:r>
          </w:p>
        </w:tc>
        <w:tc>
          <w:tcPr>
            <w:tcW w:w="920" w:type="dxa"/>
          </w:tcPr>
          <w:p w:rsidR="00F5323E" w:rsidRPr="00F5323E" w:rsidRDefault="00F5323E" w:rsidP="00F5323E">
            <w:pPr>
              <w:spacing w:line="360" w:lineRule="auto"/>
              <w:jc w:val="center"/>
              <w:rPr>
                <w:sz w:val="20"/>
              </w:rPr>
            </w:pPr>
            <w:r>
              <w:rPr>
                <w:sz w:val="20"/>
              </w:rPr>
              <w:t>389</w:t>
            </w:r>
          </w:p>
        </w:tc>
        <w:tc>
          <w:tcPr>
            <w:tcW w:w="993" w:type="dxa"/>
          </w:tcPr>
          <w:p w:rsidR="00F5323E" w:rsidRPr="00F5323E" w:rsidRDefault="00F5323E" w:rsidP="00F5323E">
            <w:pPr>
              <w:spacing w:line="360" w:lineRule="auto"/>
              <w:jc w:val="center"/>
              <w:rPr>
                <w:sz w:val="20"/>
              </w:rPr>
            </w:pPr>
            <w:r>
              <w:rPr>
                <w:sz w:val="20"/>
              </w:rPr>
              <w:t>38</w:t>
            </w:r>
          </w:p>
        </w:tc>
        <w:tc>
          <w:tcPr>
            <w:tcW w:w="1628" w:type="dxa"/>
          </w:tcPr>
          <w:p w:rsidR="00F5323E" w:rsidRPr="000D6625" w:rsidRDefault="00F5323E" w:rsidP="00F5323E">
            <w:pPr>
              <w:spacing w:line="360" w:lineRule="auto"/>
              <w:jc w:val="center"/>
              <w:rPr>
                <w:color w:val="FF0000"/>
                <w:sz w:val="20"/>
              </w:rPr>
            </w:pPr>
            <w:r w:rsidRPr="000D6625">
              <w:rPr>
                <w:color w:val="FF0000"/>
                <w:sz w:val="20"/>
              </w:rPr>
              <w:t>9.77%</w:t>
            </w:r>
          </w:p>
        </w:tc>
        <w:tc>
          <w:tcPr>
            <w:tcW w:w="1276" w:type="dxa"/>
          </w:tcPr>
          <w:p w:rsidR="00F5323E" w:rsidRPr="00F5323E" w:rsidRDefault="00F5323E" w:rsidP="00F5323E">
            <w:pPr>
              <w:spacing w:line="360" w:lineRule="auto"/>
              <w:jc w:val="center"/>
              <w:rPr>
                <w:sz w:val="20"/>
              </w:rPr>
            </w:pPr>
            <w:r>
              <w:rPr>
                <w:sz w:val="20"/>
              </w:rPr>
              <w:t>6.69%</w:t>
            </w:r>
          </w:p>
        </w:tc>
      </w:tr>
    </w:tbl>
    <w:p w:rsidR="00A73A38" w:rsidRDefault="00A73A38" w:rsidP="00FA2977">
      <w:pPr>
        <w:autoSpaceDE w:val="0"/>
        <w:autoSpaceDN w:val="0"/>
        <w:adjustRightInd w:val="0"/>
        <w:spacing w:line="360" w:lineRule="auto"/>
        <w:jc w:val="both"/>
        <w:rPr>
          <w:rFonts w:cs="Arial"/>
          <w:color w:val="FF0000"/>
        </w:rPr>
      </w:pPr>
    </w:p>
    <w:p w:rsidR="00920AE5" w:rsidRDefault="00920AE5" w:rsidP="00FA2977">
      <w:pPr>
        <w:autoSpaceDE w:val="0"/>
        <w:autoSpaceDN w:val="0"/>
        <w:adjustRightInd w:val="0"/>
        <w:spacing w:line="360" w:lineRule="auto"/>
        <w:jc w:val="both"/>
        <w:rPr>
          <w:rFonts w:cs="Arial"/>
        </w:rPr>
      </w:pPr>
    </w:p>
    <w:p w:rsidR="00920AE5" w:rsidRDefault="00920AE5" w:rsidP="00FA2977">
      <w:pPr>
        <w:autoSpaceDE w:val="0"/>
        <w:autoSpaceDN w:val="0"/>
        <w:adjustRightInd w:val="0"/>
        <w:spacing w:line="360" w:lineRule="auto"/>
        <w:jc w:val="both"/>
        <w:rPr>
          <w:rFonts w:cs="Arial"/>
        </w:rPr>
      </w:pPr>
    </w:p>
    <w:p w:rsidR="00920AE5" w:rsidRDefault="00920AE5" w:rsidP="00FA2977">
      <w:pPr>
        <w:autoSpaceDE w:val="0"/>
        <w:autoSpaceDN w:val="0"/>
        <w:adjustRightInd w:val="0"/>
        <w:spacing w:line="360" w:lineRule="auto"/>
        <w:jc w:val="both"/>
        <w:rPr>
          <w:rFonts w:cs="Arial"/>
        </w:rPr>
      </w:pPr>
    </w:p>
    <w:p w:rsidR="00920AE5" w:rsidRDefault="00920AE5" w:rsidP="00FA2977">
      <w:pPr>
        <w:autoSpaceDE w:val="0"/>
        <w:autoSpaceDN w:val="0"/>
        <w:adjustRightInd w:val="0"/>
        <w:spacing w:line="360" w:lineRule="auto"/>
        <w:jc w:val="both"/>
        <w:rPr>
          <w:rFonts w:cs="Arial"/>
        </w:rPr>
      </w:pPr>
      <w:r w:rsidRPr="00920AE5">
        <w:rPr>
          <w:rFonts w:cs="Arial"/>
        </w:rPr>
        <w:t>T</w:t>
      </w:r>
      <w:r>
        <w:rPr>
          <w:rFonts w:cs="Arial"/>
        </w:rPr>
        <w:t>o give an idea of the potential target group for the provision, t</w:t>
      </w:r>
      <w:r w:rsidRPr="00920AE5">
        <w:rPr>
          <w:rFonts w:cs="Arial"/>
        </w:rPr>
        <w:t xml:space="preserve">he </w:t>
      </w:r>
      <w:r>
        <w:rPr>
          <w:rFonts w:cs="Arial"/>
        </w:rPr>
        <w:t>most recent</w:t>
      </w:r>
      <w:r w:rsidRPr="00920AE5">
        <w:rPr>
          <w:rFonts w:cs="Arial"/>
        </w:rPr>
        <w:t xml:space="preserve"> NEET and </w:t>
      </w:r>
      <w:r w:rsidR="00E750E7">
        <w:rPr>
          <w:rFonts w:cs="Arial"/>
        </w:rPr>
        <w:t>‘Not K</w:t>
      </w:r>
      <w:r w:rsidRPr="00920AE5">
        <w:rPr>
          <w:rFonts w:cs="Arial"/>
        </w:rPr>
        <w:t>nown</w:t>
      </w:r>
      <w:r w:rsidR="00B92F4E">
        <w:rPr>
          <w:rStyle w:val="FootnoteReference"/>
          <w:rFonts w:cs="Arial"/>
        </w:rPr>
        <w:footnoteReference w:id="1"/>
      </w:r>
      <w:r w:rsidR="00E750E7">
        <w:rPr>
          <w:rFonts w:cs="Arial"/>
        </w:rPr>
        <w:t>’</w:t>
      </w:r>
      <w:r w:rsidRPr="00920AE5">
        <w:rPr>
          <w:rFonts w:cs="Arial"/>
        </w:rPr>
        <w:t xml:space="preserve"> figures </w:t>
      </w:r>
      <w:r>
        <w:rPr>
          <w:rFonts w:cs="Arial"/>
        </w:rPr>
        <w:t xml:space="preserve">currently </w:t>
      </w:r>
      <w:r w:rsidRPr="00920AE5">
        <w:rPr>
          <w:rFonts w:cs="Arial"/>
        </w:rPr>
        <w:t>for Little Hulton and Walkden North are;</w:t>
      </w:r>
    </w:p>
    <w:p w:rsidR="00920AE5" w:rsidRPr="00920AE5" w:rsidRDefault="00920AE5" w:rsidP="00FA2977">
      <w:pPr>
        <w:autoSpaceDE w:val="0"/>
        <w:autoSpaceDN w:val="0"/>
        <w:adjustRightInd w:val="0"/>
        <w:spacing w:line="360" w:lineRule="auto"/>
        <w:jc w:val="both"/>
        <w:rPr>
          <w:rFonts w:cs="Arial"/>
        </w:rPr>
      </w:pPr>
    </w:p>
    <w:tbl>
      <w:tblPr>
        <w:tblW w:w="8482" w:type="dxa"/>
        <w:tblInd w:w="-163" w:type="dxa"/>
        <w:tblCellMar>
          <w:left w:w="0" w:type="dxa"/>
          <w:right w:w="0" w:type="dxa"/>
        </w:tblCellMar>
        <w:tblLook w:val="04A0" w:firstRow="1" w:lastRow="0" w:firstColumn="1" w:lastColumn="0" w:noHBand="0" w:noVBand="1"/>
      </w:tblPr>
      <w:tblGrid>
        <w:gridCol w:w="1561"/>
        <w:gridCol w:w="851"/>
        <w:gridCol w:w="992"/>
        <w:gridCol w:w="969"/>
        <w:gridCol w:w="992"/>
        <w:gridCol w:w="978"/>
        <w:gridCol w:w="920"/>
        <w:gridCol w:w="1219"/>
      </w:tblGrid>
      <w:tr w:rsidR="00580593" w:rsidTr="00580593">
        <w:trPr>
          <w:trHeight w:val="495"/>
        </w:trPr>
        <w:tc>
          <w:tcPr>
            <w:tcW w:w="156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sidRPr="00920AE5">
              <w:rPr>
                <w:rFonts w:cs="Arial"/>
                <w:b/>
                <w:bCs/>
                <w:sz w:val="20"/>
                <w:szCs w:val="20"/>
              </w:rPr>
              <w:t>Ward Name</w:t>
            </w:r>
          </w:p>
        </w:tc>
        <w:tc>
          <w:tcPr>
            <w:tcW w:w="85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sidRPr="00920AE5">
              <w:rPr>
                <w:rFonts w:cs="Arial"/>
                <w:b/>
                <w:bCs/>
                <w:sz w:val="20"/>
                <w:szCs w:val="20"/>
              </w:rPr>
              <w:t>NEET</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sidRPr="00920AE5">
              <w:rPr>
                <w:rFonts w:cs="Arial"/>
                <w:b/>
                <w:bCs/>
                <w:sz w:val="20"/>
                <w:szCs w:val="20"/>
              </w:rPr>
              <w:t>Not Known</w:t>
            </w:r>
          </w:p>
        </w:tc>
        <w:tc>
          <w:tcPr>
            <w:tcW w:w="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sidRPr="00920AE5">
              <w:rPr>
                <w:rFonts w:cs="Arial"/>
                <w:b/>
                <w:bCs/>
                <w:sz w:val="20"/>
                <w:szCs w:val="20"/>
              </w:rPr>
              <w:t>NEET &amp; Not Known</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Pr>
                <w:rFonts w:cs="Arial"/>
                <w:b/>
                <w:bCs/>
                <w:sz w:val="20"/>
                <w:szCs w:val="20"/>
              </w:rPr>
              <w:t>Cohort</w:t>
            </w:r>
          </w:p>
        </w:tc>
        <w:tc>
          <w:tcPr>
            <w:tcW w:w="9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sidRPr="00920AE5">
              <w:rPr>
                <w:rFonts w:cs="Arial"/>
                <w:b/>
                <w:bCs/>
                <w:sz w:val="20"/>
                <w:szCs w:val="20"/>
              </w:rPr>
              <w:t>Not Known %</w:t>
            </w:r>
          </w:p>
        </w:tc>
        <w:tc>
          <w:tcPr>
            <w:tcW w:w="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sidRPr="00920AE5">
              <w:rPr>
                <w:rFonts w:cs="Arial"/>
                <w:b/>
                <w:bCs/>
                <w:sz w:val="20"/>
                <w:szCs w:val="20"/>
              </w:rPr>
              <w:t>NEET %</w:t>
            </w:r>
          </w:p>
        </w:tc>
        <w:tc>
          <w:tcPr>
            <w:tcW w:w="12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80593" w:rsidRPr="00920AE5" w:rsidRDefault="00580593" w:rsidP="00580593">
            <w:pPr>
              <w:jc w:val="center"/>
              <w:rPr>
                <w:rFonts w:cs="Arial"/>
                <w:b/>
                <w:bCs/>
                <w:sz w:val="20"/>
                <w:szCs w:val="20"/>
              </w:rPr>
            </w:pPr>
            <w:r w:rsidRPr="00920AE5">
              <w:rPr>
                <w:rFonts w:cs="Arial"/>
                <w:b/>
                <w:bCs/>
                <w:sz w:val="20"/>
                <w:szCs w:val="20"/>
              </w:rPr>
              <w:t>NEET + Not Known %</w:t>
            </w:r>
          </w:p>
        </w:tc>
      </w:tr>
      <w:tr w:rsidR="00580593" w:rsidTr="00580593">
        <w:trPr>
          <w:trHeight w:val="255"/>
        </w:trPr>
        <w:tc>
          <w:tcPr>
            <w:tcW w:w="15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rPr>
                <w:rFonts w:cs="Arial"/>
                <w:sz w:val="20"/>
                <w:szCs w:val="20"/>
              </w:rPr>
            </w:pPr>
            <w:r>
              <w:rPr>
                <w:rFonts w:cs="Arial"/>
                <w:sz w:val="20"/>
                <w:szCs w:val="20"/>
              </w:rPr>
              <w:t>Little Hulton</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9</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53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389</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Pr="00920AE5" w:rsidRDefault="00580593">
            <w:pPr>
              <w:jc w:val="center"/>
              <w:rPr>
                <w:rFonts w:cs="Arial"/>
                <w:color w:val="FF0000"/>
                <w:sz w:val="20"/>
                <w:szCs w:val="20"/>
              </w:rPr>
            </w:pPr>
            <w:r w:rsidRPr="00920AE5">
              <w:rPr>
                <w:rFonts w:cs="Arial"/>
                <w:color w:val="FF0000"/>
                <w:sz w:val="20"/>
                <w:szCs w:val="20"/>
              </w:rPr>
              <w:t>2.31%</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Pr="00920AE5" w:rsidRDefault="00580593">
            <w:pPr>
              <w:jc w:val="center"/>
              <w:rPr>
                <w:rFonts w:cs="Arial"/>
                <w:color w:val="FF0000"/>
                <w:sz w:val="20"/>
                <w:szCs w:val="20"/>
              </w:rPr>
            </w:pPr>
            <w:r w:rsidRPr="00920AE5">
              <w:rPr>
                <w:rFonts w:cs="Arial"/>
                <w:color w:val="FF0000"/>
                <w:sz w:val="20"/>
                <w:szCs w:val="20"/>
              </w:rPr>
              <w:t>11.31%</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Pr="00920AE5" w:rsidRDefault="00580593">
            <w:pPr>
              <w:jc w:val="center"/>
              <w:rPr>
                <w:rFonts w:cs="Arial"/>
                <w:color w:val="FF0000"/>
                <w:sz w:val="20"/>
                <w:szCs w:val="20"/>
              </w:rPr>
            </w:pPr>
            <w:r w:rsidRPr="00920AE5">
              <w:rPr>
                <w:rFonts w:cs="Arial"/>
                <w:color w:val="FF0000"/>
                <w:sz w:val="20"/>
                <w:szCs w:val="20"/>
              </w:rPr>
              <w:t>13.62%</w:t>
            </w:r>
          </w:p>
        </w:tc>
      </w:tr>
      <w:tr w:rsidR="00580593" w:rsidTr="00580593">
        <w:trPr>
          <w:trHeight w:val="255"/>
        </w:trPr>
        <w:tc>
          <w:tcPr>
            <w:tcW w:w="15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rPr>
                <w:rFonts w:cs="Arial"/>
                <w:sz w:val="20"/>
                <w:szCs w:val="20"/>
              </w:rPr>
            </w:pPr>
            <w:r>
              <w:rPr>
                <w:rFonts w:cs="Arial"/>
                <w:sz w:val="20"/>
                <w:szCs w:val="20"/>
              </w:rPr>
              <w:t>Walkden North</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23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5</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28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Default="00580593">
            <w:pPr>
              <w:jc w:val="center"/>
              <w:rPr>
                <w:rFonts w:cs="Arial"/>
                <w:sz w:val="20"/>
                <w:szCs w:val="20"/>
              </w:rPr>
            </w:pPr>
            <w:r>
              <w:rPr>
                <w:rFonts w:cs="Arial"/>
                <w:sz w:val="20"/>
                <w:szCs w:val="20"/>
              </w:rPr>
              <w:t>270</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Pr="00920AE5" w:rsidRDefault="00580593">
            <w:pPr>
              <w:jc w:val="center"/>
              <w:rPr>
                <w:rFonts w:cs="Arial"/>
                <w:color w:val="FF0000"/>
                <w:sz w:val="20"/>
                <w:szCs w:val="20"/>
              </w:rPr>
            </w:pPr>
            <w:r w:rsidRPr="00920AE5">
              <w:rPr>
                <w:rFonts w:cs="Arial"/>
                <w:color w:val="FF0000"/>
                <w:sz w:val="20"/>
                <w:szCs w:val="20"/>
              </w:rPr>
              <w:t>1.85%</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Pr="00920AE5" w:rsidRDefault="00580593">
            <w:pPr>
              <w:jc w:val="center"/>
              <w:rPr>
                <w:rFonts w:cs="Arial"/>
                <w:color w:val="FF0000"/>
                <w:sz w:val="20"/>
                <w:szCs w:val="20"/>
              </w:rPr>
            </w:pPr>
            <w:r w:rsidRPr="00920AE5">
              <w:rPr>
                <w:rFonts w:cs="Arial"/>
                <w:color w:val="FF0000"/>
                <w:sz w:val="20"/>
                <w:szCs w:val="20"/>
              </w:rPr>
              <w:t>8.52%</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0593" w:rsidRPr="00920AE5" w:rsidRDefault="00580593">
            <w:pPr>
              <w:jc w:val="center"/>
              <w:rPr>
                <w:rFonts w:cs="Arial"/>
                <w:color w:val="FF0000"/>
                <w:sz w:val="20"/>
                <w:szCs w:val="20"/>
              </w:rPr>
            </w:pPr>
            <w:r w:rsidRPr="00920AE5">
              <w:rPr>
                <w:rFonts w:cs="Arial"/>
                <w:color w:val="FF0000"/>
                <w:sz w:val="20"/>
                <w:szCs w:val="20"/>
              </w:rPr>
              <w:t>10.37%</w:t>
            </w:r>
          </w:p>
        </w:tc>
      </w:tr>
    </w:tbl>
    <w:p w:rsidR="00920AE5" w:rsidRDefault="00920AE5" w:rsidP="00FA2977">
      <w:pPr>
        <w:autoSpaceDE w:val="0"/>
        <w:autoSpaceDN w:val="0"/>
        <w:adjustRightInd w:val="0"/>
        <w:spacing w:line="360" w:lineRule="auto"/>
        <w:jc w:val="both"/>
        <w:rPr>
          <w:rFonts w:cs="Arial"/>
          <w:color w:val="FF0000"/>
        </w:rPr>
      </w:pPr>
    </w:p>
    <w:p w:rsidR="00E750E7" w:rsidRPr="00E750E7" w:rsidRDefault="00E750E7" w:rsidP="00FA2977">
      <w:pPr>
        <w:autoSpaceDE w:val="0"/>
        <w:autoSpaceDN w:val="0"/>
        <w:adjustRightInd w:val="0"/>
        <w:spacing w:line="360" w:lineRule="auto"/>
        <w:jc w:val="both"/>
        <w:rPr>
          <w:rFonts w:cs="Arial"/>
        </w:rPr>
      </w:pPr>
      <w:r w:rsidRPr="00E750E7">
        <w:rPr>
          <w:rFonts w:cs="Arial"/>
        </w:rPr>
        <w:lastRenderedPageBreak/>
        <w:t>From this data, it is clear that Little Hulton</w:t>
      </w:r>
      <w:r w:rsidR="00580593">
        <w:rPr>
          <w:rFonts w:cs="Arial"/>
        </w:rPr>
        <w:t xml:space="preserve"> continues to experience an</w:t>
      </w:r>
      <w:r w:rsidRPr="00E750E7">
        <w:rPr>
          <w:rFonts w:cs="Arial"/>
        </w:rPr>
        <w:t xml:space="preserve"> extremely high NEET %, </w:t>
      </w:r>
      <w:r w:rsidR="00580593">
        <w:rPr>
          <w:rFonts w:cs="Arial"/>
        </w:rPr>
        <w:t>at 11.31%, compared to Salford’s current average at 7.19% (Not Known 2.08%).</w:t>
      </w:r>
    </w:p>
    <w:p w:rsidR="00920AE5" w:rsidRDefault="00920AE5" w:rsidP="00FA2977">
      <w:pPr>
        <w:autoSpaceDE w:val="0"/>
        <w:autoSpaceDN w:val="0"/>
        <w:adjustRightInd w:val="0"/>
        <w:spacing w:line="360" w:lineRule="auto"/>
        <w:jc w:val="both"/>
        <w:rPr>
          <w:rFonts w:cs="Arial"/>
        </w:rPr>
      </w:pPr>
    </w:p>
    <w:p w:rsidR="00F66C48" w:rsidRPr="00F66C48" w:rsidRDefault="00B21744" w:rsidP="00FA2977">
      <w:pPr>
        <w:autoSpaceDE w:val="0"/>
        <w:autoSpaceDN w:val="0"/>
        <w:adjustRightInd w:val="0"/>
        <w:spacing w:line="360" w:lineRule="auto"/>
        <w:jc w:val="both"/>
        <w:rPr>
          <w:rFonts w:cs="Arial"/>
        </w:rPr>
      </w:pPr>
      <w:r>
        <w:rPr>
          <w:rFonts w:cs="Arial"/>
        </w:rPr>
        <w:t xml:space="preserve">Data from November 2016 shows that </w:t>
      </w:r>
      <w:r w:rsidR="00F66C48" w:rsidRPr="00F66C48">
        <w:rPr>
          <w:rFonts w:cs="Arial"/>
        </w:rPr>
        <w:t>Salford continues to experience unemployment and out-of-work benefit rates (19,000 people which is 11.7% of the working age population), higher than those experie</w:t>
      </w:r>
      <w:r w:rsidR="008B2473">
        <w:rPr>
          <w:rFonts w:cs="Arial"/>
        </w:rPr>
        <w:t>nced across GM</w:t>
      </w:r>
      <w:r w:rsidR="00F66C48" w:rsidRPr="00F66C48">
        <w:rPr>
          <w:rFonts w:cs="Arial"/>
        </w:rPr>
        <w:t xml:space="preserve"> (10.3%), the North West (10.1%) and nationally (8.4%). The average rate for </w:t>
      </w:r>
      <w:r w:rsidR="008B2473">
        <w:rPr>
          <w:rFonts w:cs="Arial"/>
        </w:rPr>
        <w:t>LH stands at almost 20%. Based solely on</w:t>
      </w:r>
      <w:r w:rsidR="00805A1A">
        <w:rPr>
          <w:rFonts w:cs="Arial"/>
        </w:rPr>
        <w:t xml:space="preserve"> </w:t>
      </w:r>
      <w:r w:rsidR="008B2473">
        <w:rPr>
          <w:rFonts w:cs="Arial"/>
        </w:rPr>
        <w:t>18-24 year olds</w:t>
      </w:r>
      <w:r w:rsidR="00805A1A">
        <w:rPr>
          <w:rFonts w:cs="Arial"/>
        </w:rPr>
        <w:t xml:space="preserve">, the number claiming Job Seekers Allowance or Universal Credit in </w:t>
      </w:r>
      <w:r w:rsidR="008B2473">
        <w:rPr>
          <w:rFonts w:cs="Arial"/>
        </w:rPr>
        <w:t>LH</w:t>
      </w:r>
      <w:r w:rsidR="00805A1A">
        <w:rPr>
          <w:rFonts w:cs="Arial"/>
        </w:rPr>
        <w:t xml:space="preserve"> stands at 22.5%</w:t>
      </w:r>
      <w:r>
        <w:rPr>
          <w:rStyle w:val="FootnoteReference"/>
          <w:rFonts w:cs="Arial"/>
        </w:rPr>
        <w:footnoteReference w:id="2"/>
      </w:r>
      <w:r w:rsidR="00805A1A">
        <w:rPr>
          <w:rFonts w:cs="Arial"/>
        </w:rPr>
        <w:t xml:space="preserve">. </w:t>
      </w:r>
    </w:p>
    <w:p w:rsidR="00F66C48" w:rsidRDefault="00F66C48" w:rsidP="002C6678">
      <w:pPr>
        <w:autoSpaceDE w:val="0"/>
        <w:autoSpaceDN w:val="0"/>
        <w:adjustRightInd w:val="0"/>
        <w:spacing w:line="360" w:lineRule="auto"/>
        <w:jc w:val="both"/>
        <w:rPr>
          <w:rFonts w:cs="Arial"/>
        </w:rPr>
      </w:pPr>
    </w:p>
    <w:p w:rsidR="00BE1495" w:rsidRDefault="00127A43" w:rsidP="002C6678">
      <w:pPr>
        <w:autoSpaceDE w:val="0"/>
        <w:autoSpaceDN w:val="0"/>
        <w:adjustRightInd w:val="0"/>
        <w:spacing w:line="360" w:lineRule="auto"/>
        <w:jc w:val="both"/>
        <w:rPr>
          <w:rFonts w:cs="Arial"/>
        </w:rPr>
      </w:pPr>
      <w:r>
        <w:rPr>
          <w:rFonts w:cs="Arial"/>
        </w:rPr>
        <w:lastRenderedPageBreak/>
        <w:t xml:space="preserve">In 2017, findings from </w:t>
      </w:r>
      <w:r w:rsidR="008B2473">
        <w:rPr>
          <w:rFonts w:cs="Arial"/>
        </w:rPr>
        <w:t xml:space="preserve">the </w:t>
      </w:r>
      <w:r>
        <w:rPr>
          <w:rFonts w:cs="Arial"/>
        </w:rPr>
        <w:t>c</w:t>
      </w:r>
      <w:r w:rsidR="00BE1495" w:rsidRPr="00501B8B">
        <w:rPr>
          <w:rFonts w:cs="Arial"/>
        </w:rPr>
        <w:t>on</w:t>
      </w:r>
      <w:r w:rsidR="00F66C48">
        <w:rPr>
          <w:rFonts w:cs="Arial"/>
        </w:rPr>
        <w:t>sultation between the Little Hulton Big Local (LHBL)</w:t>
      </w:r>
      <w:r w:rsidR="00BE1495" w:rsidRPr="00501B8B">
        <w:rPr>
          <w:rFonts w:cs="Arial"/>
        </w:rPr>
        <w:t xml:space="preserve"> and </w:t>
      </w:r>
      <w:r w:rsidR="00F66C48">
        <w:rPr>
          <w:rFonts w:cs="Arial"/>
        </w:rPr>
        <w:t xml:space="preserve">residents of the </w:t>
      </w:r>
      <w:r w:rsidR="008B2473">
        <w:rPr>
          <w:rFonts w:cs="Arial"/>
        </w:rPr>
        <w:t>LH</w:t>
      </w:r>
      <w:r w:rsidR="00F66C48">
        <w:rPr>
          <w:rFonts w:cs="Arial"/>
        </w:rPr>
        <w:t xml:space="preserve"> community, </w:t>
      </w:r>
      <w:r w:rsidR="00BE1495" w:rsidRPr="00501B8B">
        <w:rPr>
          <w:rFonts w:cs="Arial"/>
        </w:rPr>
        <w:t xml:space="preserve">identified </w:t>
      </w:r>
      <w:r w:rsidR="00F66C48">
        <w:rPr>
          <w:rFonts w:cs="Arial"/>
        </w:rPr>
        <w:t>a</w:t>
      </w:r>
      <w:r>
        <w:rPr>
          <w:rFonts w:cs="Arial"/>
        </w:rPr>
        <w:t xml:space="preserve"> higher than average unemploymen</w:t>
      </w:r>
      <w:r w:rsidR="00413BDD">
        <w:rPr>
          <w:rFonts w:cs="Arial"/>
        </w:rPr>
        <w:t xml:space="preserve">t rate, </w:t>
      </w:r>
      <w:r w:rsidR="008B2473">
        <w:rPr>
          <w:rFonts w:cs="Arial"/>
        </w:rPr>
        <w:t xml:space="preserve"> particularly </w:t>
      </w:r>
      <w:r w:rsidR="00413BDD">
        <w:rPr>
          <w:rFonts w:cs="Arial"/>
        </w:rPr>
        <w:t>among 18-24 year olds, with limited local provi</w:t>
      </w:r>
      <w:r w:rsidR="008B2473">
        <w:rPr>
          <w:rFonts w:cs="Arial"/>
        </w:rPr>
        <w:t xml:space="preserve">sion for tailored support for </w:t>
      </w:r>
      <w:r w:rsidR="00413BDD">
        <w:rPr>
          <w:rFonts w:cs="Arial"/>
        </w:rPr>
        <w:t>employment. T</w:t>
      </w:r>
      <w:r>
        <w:rPr>
          <w:rFonts w:cs="Arial"/>
        </w:rPr>
        <w:t xml:space="preserve">his </w:t>
      </w:r>
      <w:r w:rsidR="008B2473">
        <w:rPr>
          <w:rFonts w:cs="Arial"/>
        </w:rPr>
        <w:t>therefore provides</w:t>
      </w:r>
      <w:r>
        <w:rPr>
          <w:rFonts w:cs="Arial"/>
        </w:rPr>
        <w:t xml:space="preserve"> the</w:t>
      </w:r>
      <w:r w:rsidR="00BE1495" w:rsidRPr="00501B8B">
        <w:rPr>
          <w:rFonts w:cs="Arial"/>
        </w:rPr>
        <w:t xml:space="preserve"> </w:t>
      </w:r>
      <w:r w:rsidR="008B2473">
        <w:rPr>
          <w:rFonts w:cs="Arial"/>
        </w:rPr>
        <w:t>basis in which</w:t>
      </w:r>
      <w:r w:rsidR="00BE1495" w:rsidRPr="00501B8B">
        <w:rPr>
          <w:rFonts w:cs="Arial"/>
        </w:rPr>
        <w:t xml:space="preserve"> to </w:t>
      </w:r>
      <w:r w:rsidR="008B2473">
        <w:rPr>
          <w:rFonts w:cs="Arial"/>
        </w:rPr>
        <w:t>work towards tackling</w:t>
      </w:r>
      <w:r w:rsidR="00BE1495" w:rsidRPr="00501B8B">
        <w:rPr>
          <w:rFonts w:cs="Arial"/>
        </w:rPr>
        <w:t xml:space="preserve"> the </w:t>
      </w:r>
      <w:r w:rsidR="00F66C48">
        <w:rPr>
          <w:rFonts w:cs="Arial"/>
        </w:rPr>
        <w:t>volume of young people who are N</w:t>
      </w:r>
      <w:r w:rsidR="00BB2910">
        <w:rPr>
          <w:rFonts w:cs="Arial"/>
        </w:rPr>
        <w:t>EET or at risk of becoming NEET</w:t>
      </w:r>
      <w:r w:rsidR="00F66C48">
        <w:rPr>
          <w:rFonts w:cs="Arial"/>
        </w:rPr>
        <w:t>.</w:t>
      </w:r>
      <w:r>
        <w:rPr>
          <w:rFonts w:cs="Arial"/>
        </w:rPr>
        <w:t xml:space="preserve"> Findings also highlighted </w:t>
      </w:r>
      <w:r w:rsidR="00BB2910">
        <w:rPr>
          <w:rFonts w:cs="Arial"/>
        </w:rPr>
        <w:t xml:space="preserve">reluctance to travel outside LH for EET and </w:t>
      </w:r>
      <w:r>
        <w:rPr>
          <w:rFonts w:cs="Arial"/>
        </w:rPr>
        <w:t>the need to enhance volunteering opportunities and its links to employment.</w:t>
      </w:r>
    </w:p>
    <w:p w:rsidR="000B69F4" w:rsidRPr="00501B8B" w:rsidRDefault="000B69F4" w:rsidP="002C6678">
      <w:pPr>
        <w:autoSpaceDE w:val="0"/>
        <w:autoSpaceDN w:val="0"/>
        <w:adjustRightInd w:val="0"/>
        <w:spacing w:line="360" w:lineRule="auto"/>
        <w:jc w:val="both"/>
        <w:rPr>
          <w:rFonts w:cs="Arial"/>
        </w:rPr>
      </w:pPr>
    </w:p>
    <w:p w:rsidR="00BB2910" w:rsidRPr="00BB2910" w:rsidRDefault="00BB2910" w:rsidP="00BB2910">
      <w:pPr>
        <w:autoSpaceDE w:val="0"/>
        <w:autoSpaceDN w:val="0"/>
        <w:adjustRightInd w:val="0"/>
        <w:spacing w:line="360" w:lineRule="auto"/>
        <w:jc w:val="both"/>
        <w:rPr>
          <w:rFonts w:cs="Arial"/>
        </w:rPr>
      </w:pPr>
      <w:r>
        <w:rPr>
          <w:rFonts w:cs="Arial"/>
        </w:rPr>
        <w:t>This</w:t>
      </w:r>
      <w:r w:rsidR="00805A1A">
        <w:rPr>
          <w:rFonts w:cs="Arial"/>
        </w:rPr>
        <w:t xml:space="preserve"> research provides an</w:t>
      </w:r>
      <w:r w:rsidR="00127A43">
        <w:rPr>
          <w:rFonts w:cs="Arial"/>
        </w:rPr>
        <w:t xml:space="preserve"> indication </w:t>
      </w:r>
      <w:r>
        <w:rPr>
          <w:rFonts w:cs="Arial"/>
        </w:rPr>
        <w:t>of</w:t>
      </w:r>
      <w:r w:rsidR="00127A43">
        <w:rPr>
          <w:rFonts w:cs="Arial"/>
        </w:rPr>
        <w:t xml:space="preserve"> </w:t>
      </w:r>
      <w:r>
        <w:rPr>
          <w:rFonts w:cs="Arial"/>
        </w:rPr>
        <w:t xml:space="preserve">a key contributing factor; </w:t>
      </w:r>
      <w:r w:rsidR="00413BDD">
        <w:rPr>
          <w:rFonts w:cs="Arial"/>
        </w:rPr>
        <w:t>low school attainment levels</w:t>
      </w:r>
      <w:r w:rsidR="00805A1A">
        <w:rPr>
          <w:rFonts w:cs="Arial"/>
        </w:rPr>
        <w:t xml:space="preserve"> at GCSE age</w:t>
      </w:r>
      <w:r w:rsidR="00413BDD">
        <w:rPr>
          <w:rFonts w:cs="Arial"/>
        </w:rPr>
        <w:t xml:space="preserve">. </w:t>
      </w:r>
      <w:r>
        <w:rPr>
          <w:rFonts w:cs="Arial"/>
        </w:rPr>
        <w:t>Figures for Salford show:</w:t>
      </w:r>
    </w:p>
    <w:p w:rsidR="00BB2910" w:rsidRDefault="00BB2910" w:rsidP="00BB2910">
      <w:pPr>
        <w:pStyle w:val="ListParagraph"/>
        <w:numPr>
          <w:ilvl w:val="0"/>
          <w:numId w:val="27"/>
        </w:numPr>
        <w:autoSpaceDE w:val="0"/>
        <w:autoSpaceDN w:val="0"/>
        <w:adjustRightInd w:val="0"/>
        <w:spacing w:line="360" w:lineRule="auto"/>
        <w:jc w:val="both"/>
        <w:rPr>
          <w:rFonts w:cs="Arial"/>
        </w:rPr>
      </w:pPr>
      <w:r w:rsidRPr="00BB2910">
        <w:rPr>
          <w:rFonts w:cs="Arial"/>
        </w:rPr>
        <w:lastRenderedPageBreak/>
        <w:t xml:space="preserve">30.3% of Salford’s working age population have a qualification at NVQ Level 4 or above, but this is below the national rate of 38.2%. </w:t>
      </w:r>
    </w:p>
    <w:p w:rsidR="00BB2910" w:rsidRDefault="00BB2910" w:rsidP="00BB2910">
      <w:pPr>
        <w:pStyle w:val="ListParagraph"/>
        <w:numPr>
          <w:ilvl w:val="0"/>
          <w:numId w:val="27"/>
        </w:numPr>
        <w:autoSpaceDE w:val="0"/>
        <w:autoSpaceDN w:val="0"/>
        <w:adjustRightInd w:val="0"/>
        <w:spacing w:line="360" w:lineRule="auto"/>
        <w:jc w:val="both"/>
        <w:rPr>
          <w:rFonts w:cs="Arial"/>
        </w:rPr>
      </w:pPr>
      <w:r w:rsidRPr="00BB2910">
        <w:rPr>
          <w:rFonts w:cs="Arial"/>
        </w:rPr>
        <w:t xml:space="preserve">Salford has a higher proportion of people with no qualifications at 10.1%, compared to 8.0% nationally. </w:t>
      </w:r>
    </w:p>
    <w:p w:rsidR="000D6625" w:rsidRDefault="000D6625" w:rsidP="000D6625">
      <w:pPr>
        <w:pStyle w:val="PlainText"/>
        <w:spacing w:line="360" w:lineRule="auto"/>
        <w:jc w:val="both"/>
        <w:rPr>
          <w:rFonts w:cs="Arial"/>
        </w:rPr>
      </w:pPr>
    </w:p>
    <w:p w:rsidR="006A313D" w:rsidRPr="000D6625" w:rsidRDefault="00BB2910" w:rsidP="000D6625">
      <w:pPr>
        <w:pStyle w:val="PlainText"/>
        <w:spacing w:line="360" w:lineRule="auto"/>
        <w:jc w:val="both"/>
        <w:rPr>
          <w:rFonts w:ascii="Arial" w:hAnsi="Arial" w:cs="Arial"/>
          <w:sz w:val="28"/>
          <w:szCs w:val="24"/>
        </w:rPr>
      </w:pPr>
      <w:r w:rsidRPr="000D6625">
        <w:rPr>
          <w:rFonts w:ascii="Arial" w:hAnsi="Arial" w:cs="Arial"/>
          <w:sz w:val="24"/>
        </w:rPr>
        <w:t xml:space="preserve">Figures for LH </w:t>
      </w:r>
      <w:r w:rsidR="000D6625">
        <w:rPr>
          <w:rFonts w:ascii="Arial" w:hAnsi="Arial" w:cs="Arial"/>
          <w:sz w:val="24"/>
        </w:rPr>
        <w:t>compare as the lowest against Salford and Nationally</w:t>
      </w:r>
      <w:r w:rsidR="000D6625" w:rsidRPr="00501B8B">
        <w:rPr>
          <w:rStyle w:val="FootnoteReference"/>
          <w:rFonts w:cs="Arial"/>
        </w:rPr>
        <w:footnoteReference w:id="3"/>
      </w:r>
      <w:r w:rsidRPr="000D6625">
        <w:rPr>
          <w:rFonts w:ascii="Arial" w:hAnsi="Arial" w:cs="Arial"/>
          <w:sz w:val="24"/>
        </w:rPr>
        <w:t>:</w:t>
      </w:r>
      <w:r w:rsidR="001C0854" w:rsidRPr="000D6625">
        <w:rPr>
          <w:rFonts w:ascii="Arial" w:hAnsi="Arial" w:cs="Arial"/>
          <w:sz w:val="24"/>
        </w:rPr>
        <w:t xml:space="preserve"> </w:t>
      </w:r>
    </w:p>
    <w:tbl>
      <w:tblPr>
        <w:tblStyle w:val="TableGrid"/>
        <w:tblW w:w="9493" w:type="dxa"/>
        <w:tblLook w:val="04A0" w:firstRow="1" w:lastRow="0" w:firstColumn="1" w:lastColumn="0" w:noHBand="0" w:noVBand="1"/>
      </w:tblPr>
      <w:tblGrid>
        <w:gridCol w:w="1482"/>
        <w:gridCol w:w="3028"/>
        <w:gridCol w:w="872"/>
        <w:gridCol w:w="992"/>
        <w:gridCol w:w="1134"/>
        <w:gridCol w:w="980"/>
        <w:gridCol w:w="1005"/>
      </w:tblGrid>
      <w:tr w:rsidR="001C0854" w:rsidTr="001C0854">
        <w:tc>
          <w:tcPr>
            <w:tcW w:w="1482" w:type="dxa"/>
          </w:tcPr>
          <w:p w:rsidR="001C0854" w:rsidRPr="00F5323E" w:rsidRDefault="001C0854" w:rsidP="001C0854">
            <w:pPr>
              <w:spacing w:line="276" w:lineRule="auto"/>
              <w:jc w:val="center"/>
              <w:rPr>
                <w:b/>
                <w:sz w:val="20"/>
              </w:rPr>
            </w:pPr>
            <w:r>
              <w:rPr>
                <w:b/>
                <w:sz w:val="20"/>
              </w:rPr>
              <w:t>Year</w:t>
            </w:r>
          </w:p>
        </w:tc>
        <w:tc>
          <w:tcPr>
            <w:tcW w:w="3028" w:type="dxa"/>
          </w:tcPr>
          <w:p w:rsidR="001C0854" w:rsidRDefault="001C0854" w:rsidP="001C0854">
            <w:pPr>
              <w:spacing w:line="276" w:lineRule="auto"/>
              <w:jc w:val="center"/>
              <w:rPr>
                <w:b/>
                <w:sz w:val="20"/>
              </w:rPr>
            </w:pPr>
            <w:r>
              <w:rPr>
                <w:b/>
                <w:sz w:val="20"/>
              </w:rPr>
              <w:t>Attainment Level</w:t>
            </w:r>
          </w:p>
        </w:tc>
        <w:tc>
          <w:tcPr>
            <w:tcW w:w="872" w:type="dxa"/>
          </w:tcPr>
          <w:p w:rsidR="001C0854" w:rsidRPr="00F5323E" w:rsidRDefault="001C0854" w:rsidP="001C0854">
            <w:pPr>
              <w:spacing w:line="276" w:lineRule="auto"/>
              <w:jc w:val="center"/>
              <w:rPr>
                <w:b/>
                <w:sz w:val="20"/>
              </w:rPr>
            </w:pPr>
            <w:r>
              <w:rPr>
                <w:b/>
                <w:sz w:val="20"/>
              </w:rPr>
              <w:t xml:space="preserve">Total </w:t>
            </w:r>
            <w:r w:rsidRPr="00F5323E">
              <w:rPr>
                <w:b/>
                <w:sz w:val="20"/>
              </w:rPr>
              <w:t>Cohort</w:t>
            </w:r>
          </w:p>
        </w:tc>
        <w:tc>
          <w:tcPr>
            <w:tcW w:w="992" w:type="dxa"/>
          </w:tcPr>
          <w:p w:rsidR="001C0854" w:rsidRPr="00F5323E" w:rsidRDefault="001C0854" w:rsidP="001C0854">
            <w:pPr>
              <w:spacing w:line="276" w:lineRule="auto"/>
              <w:jc w:val="center"/>
              <w:rPr>
                <w:b/>
                <w:sz w:val="20"/>
              </w:rPr>
            </w:pPr>
            <w:r>
              <w:rPr>
                <w:b/>
                <w:sz w:val="20"/>
              </w:rPr>
              <w:t>Num of Pupils</w:t>
            </w:r>
          </w:p>
        </w:tc>
        <w:tc>
          <w:tcPr>
            <w:tcW w:w="1134" w:type="dxa"/>
          </w:tcPr>
          <w:p w:rsidR="001C0854" w:rsidRPr="00F5323E" w:rsidRDefault="001C0854" w:rsidP="001C0854">
            <w:pPr>
              <w:spacing w:line="276" w:lineRule="auto"/>
              <w:jc w:val="center"/>
              <w:rPr>
                <w:b/>
                <w:sz w:val="20"/>
              </w:rPr>
            </w:pPr>
            <w:r>
              <w:rPr>
                <w:b/>
                <w:sz w:val="20"/>
              </w:rPr>
              <w:t xml:space="preserve">Little Hulton </w:t>
            </w:r>
            <w:r w:rsidRPr="00F5323E">
              <w:rPr>
                <w:b/>
                <w:sz w:val="20"/>
              </w:rPr>
              <w:t>%</w:t>
            </w:r>
          </w:p>
        </w:tc>
        <w:tc>
          <w:tcPr>
            <w:tcW w:w="980" w:type="dxa"/>
          </w:tcPr>
          <w:p w:rsidR="001C0854" w:rsidRPr="00F5323E" w:rsidRDefault="001C0854" w:rsidP="001C0854">
            <w:pPr>
              <w:spacing w:line="276" w:lineRule="auto"/>
              <w:jc w:val="center"/>
              <w:rPr>
                <w:b/>
                <w:sz w:val="20"/>
              </w:rPr>
            </w:pPr>
            <w:r w:rsidRPr="00F5323E">
              <w:rPr>
                <w:b/>
                <w:sz w:val="20"/>
              </w:rPr>
              <w:t>Salford %</w:t>
            </w:r>
          </w:p>
        </w:tc>
        <w:tc>
          <w:tcPr>
            <w:tcW w:w="1005" w:type="dxa"/>
          </w:tcPr>
          <w:p w:rsidR="001C0854" w:rsidRPr="00F5323E" w:rsidRDefault="001C0854" w:rsidP="001C0854">
            <w:pPr>
              <w:spacing w:line="276" w:lineRule="auto"/>
              <w:jc w:val="center"/>
              <w:rPr>
                <w:b/>
                <w:sz w:val="20"/>
              </w:rPr>
            </w:pPr>
            <w:r>
              <w:rPr>
                <w:b/>
                <w:sz w:val="20"/>
              </w:rPr>
              <w:t>National %</w:t>
            </w:r>
          </w:p>
        </w:tc>
      </w:tr>
      <w:tr w:rsidR="001C0854" w:rsidTr="001C0854">
        <w:tc>
          <w:tcPr>
            <w:tcW w:w="1482" w:type="dxa"/>
          </w:tcPr>
          <w:p w:rsidR="001C0854" w:rsidRPr="00F5323E" w:rsidRDefault="001C0854" w:rsidP="001C0854">
            <w:pPr>
              <w:spacing w:line="276" w:lineRule="auto"/>
              <w:jc w:val="center"/>
              <w:rPr>
                <w:sz w:val="20"/>
              </w:rPr>
            </w:pPr>
            <w:r>
              <w:rPr>
                <w:sz w:val="20"/>
              </w:rPr>
              <w:t>2016</w:t>
            </w:r>
          </w:p>
        </w:tc>
        <w:tc>
          <w:tcPr>
            <w:tcW w:w="3028" w:type="dxa"/>
          </w:tcPr>
          <w:p w:rsidR="001C0854" w:rsidRDefault="001C0854" w:rsidP="001C0854">
            <w:pPr>
              <w:spacing w:line="276" w:lineRule="auto"/>
              <w:jc w:val="center"/>
              <w:rPr>
                <w:sz w:val="20"/>
              </w:rPr>
            </w:pPr>
            <w:r>
              <w:rPr>
                <w:sz w:val="20"/>
              </w:rPr>
              <w:t>5+ GCSE’s Grade A*-C</w:t>
            </w:r>
          </w:p>
        </w:tc>
        <w:tc>
          <w:tcPr>
            <w:tcW w:w="872" w:type="dxa"/>
          </w:tcPr>
          <w:p w:rsidR="001C0854" w:rsidRPr="00F5323E" w:rsidRDefault="001C0854" w:rsidP="001C0854">
            <w:pPr>
              <w:spacing w:line="276" w:lineRule="auto"/>
              <w:jc w:val="center"/>
              <w:rPr>
                <w:sz w:val="20"/>
              </w:rPr>
            </w:pPr>
            <w:r>
              <w:rPr>
                <w:sz w:val="20"/>
              </w:rPr>
              <w:t>161</w:t>
            </w:r>
          </w:p>
        </w:tc>
        <w:tc>
          <w:tcPr>
            <w:tcW w:w="992" w:type="dxa"/>
          </w:tcPr>
          <w:p w:rsidR="001C0854" w:rsidRPr="00F5323E" w:rsidRDefault="001C0854" w:rsidP="001C0854">
            <w:pPr>
              <w:spacing w:line="276" w:lineRule="auto"/>
              <w:jc w:val="center"/>
              <w:rPr>
                <w:sz w:val="20"/>
              </w:rPr>
            </w:pPr>
            <w:r>
              <w:rPr>
                <w:sz w:val="20"/>
              </w:rPr>
              <w:t>79</w:t>
            </w:r>
          </w:p>
        </w:tc>
        <w:tc>
          <w:tcPr>
            <w:tcW w:w="1134" w:type="dxa"/>
          </w:tcPr>
          <w:p w:rsidR="001C0854" w:rsidRPr="00F5323E" w:rsidRDefault="001C0854" w:rsidP="001C0854">
            <w:pPr>
              <w:spacing w:line="276" w:lineRule="auto"/>
              <w:jc w:val="center"/>
              <w:rPr>
                <w:sz w:val="20"/>
              </w:rPr>
            </w:pPr>
            <w:r w:rsidRPr="000D6625">
              <w:rPr>
                <w:color w:val="FF0000"/>
                <w:sz w:val="20"/>
              </w:rPr>
              <w:t>49.1%</w:t>
            </w:r>
          </w:p>
        </w:tc>
        <w:tc>
          <w:tcPr>
            <w:tcW w:w="980" w:type="dxa"/>
          </w:tcPr>
          <w:p w:rsidR="001C0854" w:rsidRPr="00F5323E" w:rsidRDefault="001C0854" w:rsidP="001C0854">
            <w:pPr>
              <w:spacing w:line="276" w:lineRule="auto"/>
              <w:jc w:val="center"/>
              <w:rPr>
                <w:sz w:val="20"/>
              </w:rPr>
            </w:pPr>
            <w:r>
              <w:rPr>
                <w:sz w:val="20"/>
              </w:rPr>
              <w:t>59.6%</w:t>
            </w:r>
          </w:p>
        </w:tc>
        <w:tc>
          <w:tcPr>
            <w:tcW w:w="1005" w:type="dxa"/>
          </w:tcPr>
          <w:p w:rsidR="001C0854" w:rsidRDefault="001C0854" w:rsidP="001C0854">
            <w:pPr>
              <w:spacing w:line="276" w:lineRule="auto"/>
              <w:jc w:val="center"/>
              <w:rPr>
                <w:sz w:val="20"/>
              </w:rPr>
            </w:pPr>
            <w:r>
              <w:rPr>
                <w:sz w:val="20"/>
              </w:rPr>
              <w:t>65.6%</w:t>
            </w:r>
          </w:p>
        </w:tc>
      </w:tr>
      <w:tr w:rsidR="001C0854" w:rsidTr="001C0854">
        <w:tc>
          <w:tcPr>
            <w:tcW w:w="1482" w:type="dxa"/>
          </w:tcPr>
          <w:p w:rsidR="001C0854" w:rsidRPr="00F5323E" w:rsidRDefault="001C0854" w:rsidP="001C0854">
            <w:pPr>
              <w:spacing w:line="276" w:lineRule="auto"/>
              <w:jc w:val="center"/>
              <w:rPr>
                <w:sz w:val="20"/>
              </w:rPr>
            </w:pPr>
            <w:r>
              <w:rPr>
                <w:sz w:val="20"/>
              </w:rPr>
              <w:t>2016</w:t>
            </w:r>
          </w:p>
        </w:tc>
        <w:tc>
          <w:tcPr>
            <w:tcW w:w="3028" w:type="dxa"/>
          </w:tcPr>
          <w:p w:rsidR="001C0854" w:rsidRPr="00F5323E" w:rsidRDefault="001C0854" w:rsidP="000D6625">
            <w:pPr>
              <w:spacing w:line="276" w:lineRule="auto"/>
              <w:jc w:val="center"/>
              <w:rPr>
                <w:sz w:val="20"/>
              </w:rPr>
            </w:pPr>
            <w:r>
              <w:rPr>
                <w:sz w:val="20"/>
              </w:rPr>
              <w:t>5+ GCSE’s Grade A*-C including Maths &amp; English</w:t>
            </w:r>
          </w:p>
        </w:tc>
        <w:tc>
          <w:tcPr>
            <w:tcW w:w="872" w:type="dxa"/>
          </w:tcPr>
          <w:p w:rsidR="001C0854" w:rsidRPr="00F5323E" w:rsidRDefault="001C0854" w:rsidP="001C0854">
            <w:pPr>
              <w:spacing w:line="276" w:lineRule="auto"/>
              <w:jc w:val="center"/>
              <w:rPr>
                <w:sz w:val="20"/>
              </w:rPr>
            </w:pPr>
            <w:r>
              <w:rPr>
                <w:sz w:val="20"/>
              </w:rPr>
              <w:t>161</w:t>
            </w:r>
          </w:p>
        </w:tc>
        <w:tc>
          <w:tcPr>
            <w:tcW w:w="992" w:type="dxa"/>
          </w:tcPr>
          <w:p w:rsidR="001C0854" w:rsidRPr="00F5323E" w:rsidRDefault="001C0854" w:rsidP="001C0854">
            <w:pPr>
              <w:spacing w:line="276" w:lineRule="auto"/>
              <w:jc w:val="center"/>
              <w:rPr>
                <w:sz w:val="20"/>
              </w:rPr>
            </w:pPr>
            <w:r>
              <w:rPr>
                <w:sz w:val="20"/>
              </w:rPr>
              <w:t>55</w:t>
            </w:r>
          </w:p>
        </w:tc>
        <w:tc>
          <w:tcPr>
            <w:tcW w:w="1134" w:type="dxa"/>
          </w:tcPr>
          <w:p w:rsidR="001C0854" w:rsidRPr="00F5323E" w:rsidRDefault="001C0854" w:rsidP="001C0854">
            <w:pPr>
              <w:spacing w:line="276" w:lineRule="auto"/>
              <w:jc w:val="center"/>
              <w:rPr>
                <w:sz w:val="20"/>
              </w:rPr>
            </w:pPr>
            <w:r w:rsidRPr="000D6625">
              <w:rPr>
                <w:color w:val="FF0000"/>
                <w:sz w:val="20"/>
              </w:rPr>
              <w:t>34.1%</w:t>
            </w:r>
          </w:p>
        </w:tc>
        <w:tc>
          <w:tcPr>
            <w:tcW w:w="980" w:type="dxa"/>
          </w:tcPr>
          <w:p w:rsidR="001C0854" w:rsidRPr="00F5323E" w:rsidRDefault="001C0854" w:rsidP="001C0854">
            <w:pPr>
              <w:spacing w:line="276" w:lineRule="auto"/>
              <w:jc w:val="center"/>
              <w:rPr>
                <w:sz w:val="20"/>
              </w:rPr>
            </w:pPr>
            <w:r>
              <w:rPr>
                <w:sz w:val="20"/>
              </w:rPr>
              <w:t>48.2%</w:t>
            </w:r>
          </w:p>
        </w:tc>
        <w:tc>
          <w:tcPr>
            <w:tcW w:w="1005" w:type="dxa"/>
          </w:tcPr>
          <w:p w:rsidR="001C0854" w:rsidRPr="00F5323E" w:rsidRDefault="001C0854" w:rsidP="001C0854">
            <w:pPr>
              <w:spacing w:line="276" w:lineRule="auto"/>
              <w:jc w:val="center"/>
              <w:rPr>
                <w:sz w:val="20"/>
              </w:rPr>
            </w:pPr>
            <w:r>
              <w:rPr>
                <w:sz w:val="20"/>
              </w:rPr>
              <w:t>53.7%</w:t>
            </w:r>
          </w:p>
        </w:tc>
      </w:tr>
      <w:tr w:rsidR="001C0854" w:rsidTr="001C0854">
        <w:tc>
          <w:tcPr>
            <w:tcW w:w="1482" w:type="dxa"/>
          </w:tcPr>
          <w:p w:rsidR="001C0854" w:rsidRPr="00F5323E" w:rsidRDefault="001C0854" w:rsidP="001C0854">
            <w:pPr>
              <w:spacing w:line="276" w:lineRule="auto"/>
              <w:jc w:val="center"/>
              <w:rPr>
                <w:sz w:val="20"/>
              </w:rPr>
            </w:pPr>
            <w:r>
              <w:rPr>
                <w:sz w:val="20"/>
              </w:rPr>
              <w:t>2017</w:t>
            </w:r>
          </w:p>
        </w:tc>
        <w:tc>
          <w:tcPr>
            <w:tcW w:w="3028" w:type="dxa"/>
          </w:tcPr>
          <w:p w:rsidR="001C0854" w:rsidRPr="00F5323E" w:rsidRDefault="001C0854" w:rsidP="001C0854">
            <w:pPr>
              <w:spacing w:line="276" w:lineRule="auto"/>
              <w:jc w:val="center"/>
              <w:rPr>
                <w:sz w:val="20"/>
              </w:rPr>
            </w:pPr>
            <w:r>
              <w:rPr>
                <w:sz w:val="20"/>
              </w:rPr>
              <w:t>Strong Pass in English &amp; Maths</w:t>
            </w:r>
          </w:p>
        </w:tc>
        <w:tc>
          <w:tcPr>
            <w:tcW w:w="872" w:type="dxa"/>
          </w:tcPr>
          <w:p w:rsidR="001C0854" w:rsidRPr="00F5323E" w:rsidRDefault="001C0854" w:rsidP="001C0854">
            <w:pPr>
              <w:spacing w:line="276" w:lineRule="auto"/>
              <w:jc w:val="center"/>
              <w:rPr>
                <w:sz w:val="20"/>
              </w:rPr>
            </w:pPr>
            <w:r>
              <w:rPr>
                <w:sz w:val="20"/>
              </w:rPr>
              <w:t>163</w:t>
            </w:r>
          </w:p>
        </w:tc>
        <w:tc>
          <w:tcPr>
            <w:tcW w:w="992" w:type="dxa"/>
          </w:tcPr>
          <w:p w:rsidR="001C0854" w:rsidRPr="00F5323E" w:rsidRDefault="001C0854" w:rsidP="001C0854">
            <w:pPr>
              <w:spacing w:line="276" w:lineRule="auto"/>
              <w:jc w:val="center"/>
              <w:rPr>
                <w:sz w:val="20"/>
              </w:rPr>
            </w:pPr>
            <w:r>
              <w:rPr>
                <w:sz w:val="20"/>
              </w:rPr>
              <w:t>31</w:t>
            </w:r>
          </w:p>
        </w:tc>
        <w:tc>
          <w:tcPr>
            <w:tcW w:w="1134" w:type="dxa"/>
          </w:tcPr>
          <w:p w:rsidR="001C0854" w:rsidRPr="00F5323E" w:rsidRDefault="001C0854" w:rsidP="001C0854">
            <w:pPr>
              <w:spacing w:line="276" w:lineRule="auto"/>
              <w:jc w:val="center"/>
              <w:rPr>
                <w:sz w:val="20"/>
              </w:rPr>
            </w:pPr>
            <w:r w:rsidRPr="000D6625">
              <w:rPr>
                <w:color w:val="FF0000"/>
                <w:sz w:val="20"/>
              </w:rPr>
              <w:t>19%</w:t>
            </w:r>
          </w:p>
        </w:tc>
        <w:tc>
          <w:tcPr>
            <w:tcW w:w="980" w:type="dxa"/>
          </w:tcPr>
          <w:p w:rsidR="001C0854" w:rsidRPr="00F5323E" w:rsidRDefault="001C0854" w:rsidP="001C0854">
            <w:pPr>
              <w:spacing w:line="276" w:lineRule="auto"/>
              <w:jc w:val="center"/>
              <w:rPr>
                <w:sz w:val="20"/>
              </w:rPr>
            </w:pPr>
            <w:r>
              <w:rPr>
                <w:sz w:val="20"/>
              </w:rPr>
              <w:t>32%</w:t>
            </w:r>
          </w:p>
        </w:tc>
        <w:tc>
          <w:tcPr>
            <w:tcW w:w="1005" w:type="dxa"/>
          </w:tcPr>
          <w:p w:rsidR="001C0854" w:rsidRDefault="000D6625" w:rsidP="001C0854">
            <w:pPr>
              <w:spacing w:line="276" w:lineRule="auto"/>
              <w:jc w:val="center"/>
              <w:rPr>
                <w:sz w:val="20"/>
              </w:rPr>
            </w:pPr>
            <w:r>
              <w:rPr>
                <w:sz w:val="20"/>
              </w:rPr>
              <w:t>43%</w:t>
            </w:r>
          </w:p>
        </w:tc>
      </w:tr>
      <w:tr w:rsidR="001C0854" w:rsidTr="001C0854">
        <w:tc>
          <w:tcPr>
            <w:tcW w:w="1482" w:type="dxa"/>
          </w:tcPr>
          <w:p w:rsidR="001C0854" w:rsidRPr="00F5323E" w:rsidRDefault="001C0854" w:rsidP="001C0854">
            <w:pPr>
              <w:spacing w:line="276" w:lineRule="auto"/>
              <w:jc w:val="center"/>
              <w:rPr>
                <w:sz w:val="20"/>
              </w:rPr>
            </w:pPr>
            <w:r>
              <w:rPr>
                <w:sz w:val="20"/>
              </w:rPr>
              <w:t>2017</w:t>
            </w:r>
          </w:p>
        </w:tc>
        <w:tc>
          <w:tcPr>
            <w:tcW w:w="3028" w:type="dxa"/>
          </w:tcPr>
          <w:p w:rsidR="001C0854" w:rsidRPr="00F5323E" w:rsidRDefault="001C0854" w:rsidP="001C0854">
            <w:pPr>
              <w:spacing w:line="276" w:lineRule="auto"/>
              <w:jc w:val="center"/>
              <w:rPr>
                <w:sz w:val="20"/>
              </w:rPr>
            </w:pPr>
            <w:r>
              <w:rPr>
                <w:sz w:val="20"/>
              </w:rPr>
              <w:t>Standard Pass</w:t>
            </w:r>
          </w:p>
        </w:tc>
        <w:tc>
          <w:tcPr>
            <w:tcW w:w="872" w:type="dxa"/>
          </w:tcPr>
          <w:p w:rsidR="001C0854" w:rsidRPr="00F5323E" w:rsidRDefault="001C0854" w:rsidP="001C0854">
            <w:pPr>
              <w:spacing w:line="276" w:lineRule="auto"/>
              <w:jc w:val="center"/>
              <w:rPr>
                <w:sz w:val="20"/>
              </w:rPr>
            </w:pPr>
            <w:r>
              <w:rPr>
                <w:sz w:val="20"/>
              </w:rPr>
              <w:t>163</w:t>
            </w:r>
          </w:p>
        </w:tc>
        <w:tc>
          <w:tcPr>
            <w:tcW w:w="992" w:type="dxa"/>
          </w:tcPr>
          <w:p w:rsidR="001C0854" w:rsidRPr="00F5323E" w:rsidRDefault="001C0854" w:rsidP="001C0854">
            <w:pPr>
              <w:spacing w:line="276" w:lineRule="auto"/>
              <w:jc w:val="center"/>
              <w:rPr>
                <w:sz w:val="20"/>
              </w:rPr>
            </w:pPr>
            <w:r>
              <w:rPr>
                <w:sz w:val="20"/>
              </w:rPr>
              <w:t>57</w:t>
            </w:r>
          </w:p>
        </w:tc>
        <w:tc>
          <w:tcPr>
            <w:tcW w:w="1134" w:type="dxa"/>
          </w:tcPr>
          <w:p w:rsidR="001C0854" w:rsidRPr="00F5323E" w:rsidRDefault="001C0854" w:rsidP="001C0854">
            <w:pPr>
              <w:spacing w:line="276" w:lineRule="auto"/>
              <w:jc w:val="center"/>
              <w:rPr>
                <w:sz w:val="20"/>
              </w:rPr>
            </w:pPr>
            <w:r w:rsidRPr="000D6625">
              <w:rPr>
                <w:color w:val="FF0000"/>
                <w:sz w:val="20"/>
              </w:rPr>
              <w:t>35%</w:t>
            </w:r>
          </w:p>
        </w:tc>
        <w:tc>
          <w:tcPr>
            <w:tcW w:w="980" w:type="dxa"/>
          </w:tcPr>
          <w:p w:rsidR="001C0854" w:rsidRPr="00F5323E" w:rsidRDefault="001C0854" w:rsidP="001C0854">
            <w:pPr>
              <w:spacing w:line="276" w:lineRule="auto"/>
              <w:jc w:val="center"/>
              <w:rPr>
                <w:sz w:val="20"/>
              </w:rPr>
            </w:pPr>
            <w:r>
              <w:rPr>
                <w:sz w:val="20"/>
              </w:rPr>
              <w:t>54%</w:t>
            </w:r>
          </w:p>
        </w:tc>
        <w:tc>
          <w:tcPr>
            <w:tcW w:w="1005" w:type="dxa"/>
          </w:tcPr>
          <w:p w:rsidR="001C0854" w:rsidRDefault="000D6625" w:rsidP="001C0854">
            <w:pPr>
              <w:spacing w:line="276" w:lineRule="auto"/>
              <w:jc w:val="center"/>
              <w:rPr>
                <w:sz w:val="20"/>
              </w:rPr>
            </w:pPr>
            <w:r>
              <w:rPr>
                <w:sz w:val="20"/>
              </w:rPr>
              <w:t>64%</w:t>
            </w:r>
          </w:p>
        </w:tc>
      </w:tr>
    </w:tbl>
    <w:p w:rsidR="00BB2910" w:rsidRDefault="00BB2910" w:rsidP="00BB2910">
      <w:pPr>
        <w:autoSpaceDE w:val="0"/>
        <w:autoSpaceDN w:val="0"/>
        <w:adjustRightInd w:val="0"/>
        <w:spacing w:line="360" w:lineRule="auto"/>
        <w:jc w:val="both"/>
        <w:rPr>
          <w:rFonts w:cs="Arial"/>
        </w:rPr>
      </w:pPr>
    </w:p>
    <w:p w:rsidR="00C30F90" w:rsidRDefault="00C30F90" w:rsidP="005B6524">
      <w:pPr>
        <w:spacing w:line="360" w:lineRule="auto"/>
        <w:jc w:val="both"/>
        <w:rPr>
          <w:rFonts w:cs="Arial"/>
        </w:rPr>
      </w:pPr>
      <w:r>
        <w:rPr>
          <w:rFonts w:cs="Arial"/>
        </w:rPr>
        <w:lastRenderedPageBreak/>
        <w:t xml:space="preserve">There are further underlying contributing factors, including anti-social behaviour (ASB) (see Appendix 2), risk-taking behaviour and poor mental health, impacting on young people’s journey to entering the labour market. Other issues are ill-health and caring responsibilities, higher than the Salford average. </w:t>
      </w:r>
    </w:p>
    <w:p w:rsidR="00C30F90" w:rsidRDefault="00C30F90" w:rsidP="005B6524">
      <w:pPr>
        <w:spacing w:line="360" w:lineRule="auto"/>
        <w:jc w:val="both"/>
        <w:rPr>
          <w:rFonts w:cs="Arial"/>
        </w:rPr>
      </w:pPr>
    </w:p>
    <w:p w:rsidR="00C30F90" w:rsidRDefault="00C30F90" w:rsidP="005B6524">
      <w:pPr>
        <w:spacing w:line="360" w:lineRule="auto"/>
        <w:jc w:val="both"/>
        <w:rPr>
          <w:rFonts w:cs="Arial"/>
        </w:rPr>
      </w:pPr>
      <w:r w:rsidRPr="00BB2910">
        <w:rPr>
          <w:rFonts w:cs="Arial"/>
        </w:rPr>
        <w:t xml:space="preserve">It is </w:t>
      </w:r>
      <w:r>
        <w:rPr>
          <w:rFonts w:cs="Arial"/>
        </w:rPr>
        <w:t xml:space="preserve">also </w:t>
      </w:r>
      <w:r w:rsidRPr="00BB2910">
        <w:rPr>
          <w:rFonts w:cs="Arial"/>
        </w:rPr>
        <w:t xml:space="preserve">important to consider that LH has a demographic bias for under 25 and over 60 year olds, with implications for the future. This means that in 10 years there will be a significantly large proportion of young people. The key to their positive progression to </w:t>
      </w:r>
      <w:r w:rsidRPr="000F559F">
        <w:rPr>
          <w:rFonts w:cs="Arial"/>
        </w:rPr>
        <w:t>further education</w:t>
      </w:r>
      <w:r w:rsidRPr="00BB2910">
        <w:rPr>
          <w:rFonts w:cs="Arial"/>
        </w:rPr>
        <w:t xml:space="preserve">, employment and training, is a high level of achievement, motivation and aspiration. Thus provision needs to address the disadvantages that young people are facing. </w:t>
      </w:r>
    </w:p>
    <w:p w:rsidR="00C30F90" w:rsidRDefault="00C30F90" w:rsidP="005B6524">
      <w:pPr>
        <w:spacing w:line="360" w:lineRule="auto"/>
        <w:jc w:val="both"/>
        <w:rPr>
          <w:rFonts w:cs="Arial"/>
        </w:rPr>
      </w:pPr>
    </w:p>
    <w:p w:rsidR="00C30F90" w:rsidRPr="00501B8B" w:rsidRDefault="00C30F90" w:rsidP="005B6524">
      <w:pPr>
        <w:spacing w:line="360" w:lineRule="auto"/>
        <w:jc w:val="both"/>
        <w:rPr>
          <w:rFonts w:cs="Arial"/>
        </w:rPr>
      </w:pPr>
      <w:r w:rsidRPr="00501B8B">
        <w:rPr>
          <w:rFonts w:cs="Arial"/>
        </w:rPr>
        <w:lastRenderedPageBreak/>
        <w:t>The city also lags behind when it comes to progression into higher education, with only 48% of young people progressing to a UK higher education institution after completing Key Stage 5, compared to 51% across the region.</w:t>
      </w:r>
    </w:p>
    <w:p w:rsidR="00C30F90" w:rsidRPr="00501B8B" w:rsidRDefault="00C30F90" w:rsidP="005B6524">
      <w:pPr>
        <w:spacing w:line="360" w:lineRule="auto"/>
        <w:jc w:val="both"/>
        <w:rPr>
          <w:rFonts w:cs="Arial"/>
        </w:rPr>
      </w:pPr>
    </w:p>
    <w:p w:rsidR="00C30F90" w:rsidRPr="00501B8B" w:rsidRDefault="00C30F90" w:rsidP="005B6524">
      <w:pPr>
        <w:spacing w:line="360" w:lineRule="auto"/>
        <w:jc w:val="both"/>
        <w:rPr>
          <w:rFonts w:cs="Arial"/>
        </w:rPr>
      </w:pPr>
      <w:r>
        <w:rPr>
          <w:rFonts w:cs="Arial"/>
        </w:rPr>
        <w:t>Salford is</w:t>
      </w:r>
      <w:r w:rsidRPr="00501B8B">
        <w:rPr>
          <w:rFonts w:cs="Arial"/>
        </w:rPr>
        <w:t xml:space="preserve"> however, performing well in terms of apprenticeships, with rates of people aged 16-17 moving into apprenticeships higher that than seen at Greater Manchester and national levels.</w:t>
      </w:r>
      <w:r>
        <w:rPr>
          <w:rFonts w:cs="Arial"/>
        </w:rPr>
        <w:t xml:space="preserve"> In terms of access and </w:t>
      </w:r>
      <w:r w:rsidRPr="000F559F">
        <w:rPr>
          <w:rFonts w:cs="Arial"/>
        </w:rPr>
        <w:t xml:space="preserve">inclusion for LH young people, qualitative responses from the research questionnaires emphasised the need for EET, with a strong emphasis on apprenticeship/traineeship related </w:t>
      </w:r>
      <w:r>
        <w:rPr>
          <w:rFonts w:cs="Arial"/>
        </w:rPr>
        <w:t xml:space="preserve">interventions and support. </w:t>
      </w:r>
    </w:p>
    <w:p w:rsidR="00C30F90" w:rsidRDefault="00C30F90" w:rsidP="005B6524">
      <w:pPr>
        <w:spacing w:line="360" w:lineRule="auto"/>
        <w:jc w:val="both"/>
        <w:rPr>
          <w:rFonts w:cs="Arial"/>
          <w:b/>
        </w:rPr>
      </w:pPr>
    </w:p>
    <w:p w:rsidR="00543C27" w:rsidRDefault="00543C27" w:rsidP="005B6524">
      <w:pPr>
        <w:spacing w:line="360" w:lineRule="auto"/>
        <w:jc w:val="both"/>
        <w:rPr>
          <w:rFonts w:cs="Arial"/>
          <w:b/>
        </w:rPr>
      </w:pPr>
    </w:p>
    <w:p w:rsidR="00543C27" w:rsidRDefault="00543C27" w:rsidP="005B6524">
      <w:pPr>
        <w:spacing w:line="360" w:lineRule="auto"/>
        <w:jc w:val="both"/>
        <w:rPr>
          <w:rFonts w:cs="Arial"/>
          <w:b/>
        </w:rPr>
      </w:pPr>
    </w:p>
    <w:p w:rsidR="00543C27" w:rsidRPr="00501B8B" w:rsidRDefault="00543C27" w:rsidP="005B6524">
      <w:pPr>
        <w:spacing w:line="360" w:lineRule="auto"/>
        <w:jc w:val="both"/>
        <w:rPr>
          <w:rFonts w:cs="Arial"/>
          <w:b/>
        </w:rPr>
      </w:pPr>
    </w:p>
    <w:p w:rsidR="00C30F90" w:rsidRPr="005B6524" w:rsidRDefault="00C30F90" w:rsidP="005B6524">
      <w:pPr>
        <w:pStyle w:val="ListParagraph"/>
        <w:numPr>
          <w:ilvl w:val="0"/>
          <w:numId w:val="1"/>
        </w:numPr>
        <w:spacing w:line="360" w:lineRule="auto"/>
        <w:jc w:val="both"/>
        <w:rPr>
          <w:rFonts w:cs="Arial"/>
          <w:b/>
        </w:rPr>
      </w:pPr>
      <w:r w:rsidRPr="005B6524">
        <w:rPr>
          <w:rFonts w:cs="Arial"/>
          <w:b/>
        </w:rPr>
        <w:t>The Proposal</w:t>
      </w:r>
    </w:p>
    <w:p w:rsidR="00C30F90" w:rsidRPr="00501B8B" w:rsidRDefault="00C30F90" w:rsidP="005B6524">
      <w:pPr>
        <w:spacing w:line="360" w:lineRule="auto"/>
        <w:jc w:val="both"/>
        <w:rPr>
          <w:rFonts w:cs="Arial"/>
        </w:rPr>
      </w:pPr>
    </w:p>
    <w:p w:rsidR="00C30F90" w:rsidRPr="00BB0003" w:rsidRDefault="00C30F90" w:rsidP="005B6524">
      <w:pPr>
        <w:spacing w:line="360" w:lineRule="auto"/>
        <w:jc w:val="both"/>
        <w:rPr>
          <w:rFonts w:cs="Arial"/>
        </w:rPr>
      </w:pPr>
      <w:r>
        <w:rPr>
          <w:rFonts w:cs="Arial"/>
        </w:rPr>
        <w:lastRenderedPageBreak/>
        <w:t>The above information evidences the</w:t>
      </w:r>
      <w:r w:rsidRPr="00501B8B">
        <w:rPr>
          <w:rFonts w:cs="Arial"/>
        </w:rPr>
        <w:t xml:space="preserve"> challenges </w:t>
      </w:r>
      <w:r>
        <w:rPr>
          <w:rFonts w:cs="Arial"/>
        </w:rPr>
        <w:t xml:space="preserve">that </w:t>
      </w:r>
      <w:r w:rsidRPr="00501B8B">
        <w:rPr>
          <w:rFonts w:cs="Arial"/>
        </w:rPr>
        <w:t>remain with regard to connecting young people to EET.</w:t>
      </w:r>
      <w:r>
        <w:rPr>
          <w:rFonts w:cs="Arial"/>
        </w:rPr>
        <w:t xml:space="preserve"> </w:t>
      </w:r>
      <w:r w:rsidRPr="00501B8B">
        <w:rPr>
          <w:rFonts w:cs="Arial"/>
        </w:rPr>
        <w:t>Reducing the number of young people who are NEET</w:t>
      </w:r>
      <w:r>
        <w:rPr>
          <w:rFonts w:cs="Arial"/>
        </w:rPr>
        <w:t xml:space="preserve"> and at risk of becoming NEET,</w:t>
      </w:r>
      <w:r w:rsidRPr="00501B8B">
        <w:rPr>
          <w:rFonts w:cs="Arial"/>
        </w:rPr>
        <w:t xml:space="preserve"> is a major priority for</w:t>
      </w:r>
      <w:r>
        <w:rPr>
          <w:rFonts w:cs="Arial"/>
        </w:rPr>
        <w:t xml:space="preserve"> the</w:t>
      </w:r>
      <w:r w:rsidRPr="00501B8B">
        <w:rPr>
          <w:rFonts w:cs="Arial"/>
        </w:rPr>
        <w:t xml:space="preserve"> </w:t>
      </w:r>
      <w:r>
        <w:rPr>
          <w:rFonts w:cs="Arial"/>
        </w:rPr>
        <w:t xml:space="preserve">LHBL. </w:t>
      </w:r>
      <w:r>
        <w:t xml:space="preserve">Analysis of LH’s NEET cohort in May 2018 showed that from the 30, only 2 young people had not been identified as experiencing an additional barrier to EET, known as a characteristic of being NEET. </w:t>
      </w:r>
    </w:p>
    <w:p w:rsidR="00C30F90" w:rsidRDefault="00C30F90" w:rsidP="005B6524">
      <w:pPr>
        <w:spacing w:line="360" w:lineRule="auto"/>
        <w:jc w:val="both"/>
        <w:rPr>
          <w:rFonts w:cs="Arial"/>
        </w:rPr>
      </w:pPr>
    </w:p>
    <w:p w:rsidR="00C30F90" w:rsidRDefault="00C30F90" w:rsidP="005B6524">
      <w:pPr>
        <w:spacing w:line="360" w:lineRule="auto"/>
        <w:jc w:val="both"/>
      </w:pPr>
      <w:r>
        <w:rPr>
          <w:rFonts w:cs="Arial"/>
        </w:rPr>
        <w:t xml:space="preserve">Preventative re-engagement models of provision are proven to </w:t>
      </w:r>
      <w:r w:rsidRPr="00501B8B">
        <w:rPr>
          <w:rFonts w:cs="Arial"/>
        </w:rPr>
        <w:t>successful</w:t>
      </w:r>
      <w:r>
        <w:rPr>
          <w:rFonts w:cs="Arial"/>
        </w:rPr>
        <w:t>ly support young people’s journey to</w:t>
      </w:r>
      <w:r w:rsidRPr="00501B8B">
        <w:rPr>
          <w:rFonts w:cs="Arial"/>
        </w:rPr>
        <w:t xml:space="preserve"> sustained participation in EET</w:t>
      </w:r>
      <w:r>
        <w:rPr>
          <w:rFonts w:cs="Arial"/>
        </w:rPr>
        <w:t>. Re-engagement programmes are</w:t>
      </w:r>
      <w:r w:rsidRPr="00501B8B">
        <w:rPr>
          <w:rFonts w:cs="Arial"/>
        </w:rPr>
        <w:t xml:space="preserve"> a catalyst for improving resilience </w:t>
      </w:r>
      <w:r>
        <w:rPr>
          <w:rFonts w:cs="Arial"/>
        </w:rPr>
        <w:t xml:space="preserve">factors, </w:t>
      </w:r>
      <w:r w:rsidRPr="00501B8B">
        <w:rPr>
          <w:rFonts w:cs="Arial"/>
        </w:rPr>
        <w:t xml:space="preserve">social mobility and preventing </w:t>
      </w:r>
      <w:r>
        <w:rPr>
          <w:rFonts w:cs="Arial"/>
        </w:rPr>
        <w:t>socio-economic barriers,</w:t>
      </w:r>
      <w:r w:rsidRPr="00501B8B">
        <w:rPr>
          <w:rFonts w:cs="Arial"/>
        </w:rPr>
        <w:t xml:space="preserve"> such as benefits dependency, poor health, </w:t>
      </w:r>
      <w:r>
        <w:rPr>
          <w:rFonts w:cs="Arial"/>
        </w:rPr>
        <w:t>inability to follow online application pro</w:t>
      </w:r>
      <w:r>
        <w:rPr>
          <w:rFonts w:cs="Arial"/>
        </w:rPr>
        <w:lastRenderedPageBreak/>
        <w:t xml:space="preserve">cesses, unwillingness to travel outside of LH and lack of personal transport, caring responsibilities, </w:t>
      </w:r>
      <w:r w:rsidRPr="00501B8B">
        <w:rPr>
          <w:rFonts w:cs="Arial"/>
        </w:rPr>
        <w:t>reduced self-confidence and an increased risk of criminality and anti-social behavio</w:t>
      </w:r>
      <w:r>
        <w:rPr>
          <w:rFonts w:cs="Arial"/>
        </w:rPr>
        <w:t>ur</w:t>
      </w:r>
      <w:r w:rsidRPr="00501B8B">
        <w:rPr>
          <w:rFonts w:cs="Arial"/>
        </w:rPr>
        <w:t>.</w:t>
      </w:r>
      <w:r>
        <w:rPr>
          <w:rFonts w:cs="Arial"/>
        </w:rPr>
        <w:t xml:space="preserve"> </w:t>
      </w:r>
    </w:p>
    <w:p w:rsidR="00C30F90" w:rsidRPr="00501B8B" w:rsidRDefault="00C30F90" w:rsidP="005B6524">
      <w:pPr>
        <w:spacing w:line="360" w:lineRule="auto"/>
        <w:jc w:val="both"/>
        <w:rPr>
          <w:rFonts w:cs="Arial"/>
          <w:noProof/>
        </w:rPr>
      </w:pPr>
    </w:p>
    <w:p w:rsidR="00C30F90" w:rsidRDefault="00C30F90" w:rsidP="005B6524">
      <w:pPr>
        <w:spacing w:line="360" w:lineRule="auto"/>
        <w:jc w:val="both"/>
        <w:rPr>
          <w:rFonts w:cs="Arial"/>
        </w:rPr>
      </w:pPr>
      <w:r>
        <w:rPr>
          <w:rFonts w:cs="Arial"/>
        </w:rPr>
        <w:t>The proposal</w:t>
      </w:r>
      <w:r w:rsidRPr="00501B8B">
        <w:rPr>
          <w:rFonts w:cs="Arial"/>
        </w:rPr>
        <w:t xml:space="preserve"> is therefore to </w:t>
      </w:r>
      <w:r>
        <w:rPr>
          <w:rFonts w:cs="Arial"/>
        </w:rPr>
        <w:t>pilot a targeted and intensive re-engagement provision, to</w:t>
      </w:r>
      <w:r w:rsidRPr="00501B8B">
        <w:rPr>
          <w:rFonts w:cs="Arial"/>
        </w:rPr>
        <w:t xml:space="preserve"> </w:t>
      </w:r>
      <w:r>
        <w:rPr>
          <w:rFonts w:cs="Arial"/>
        </w:rPr>
        <w:t xml:space="preserve">addresses a gap in local provision and connect more </w:t>
      </w:r>
      <w:r w:rsidRPr="00501B8B">
        <w:rPr>
          <w:rFonts w:cs="Arial"/>
        </w:rPr>
        <w:t>young people</w:t>
      </w:r>
      <w:r>
        <w:rPr>
          <w:rFonts w:cs="Arial"/>
        </w:rPr>
        <w:t xml:space="preserve"> in LH</w:t>
      </w:r>
      <w:r w:rsidRPr="00501B8B">
        <w:rPr>
          <w:rFonts w:cs="Arial"/>
        </w:rPr>
        <w:t xml:space="preserve"> </w:t>
      </w:r>
      <w:r>
        <w:rPr>
          <w:rFonts w:cs="Arial"/>
        </w:rPr>
        <w:t>to positive opportunities and destinations. The provider will operate as</w:t>
      </w:r>
      <w:r w:rsidRPr="00501B8B">
        <w:rPr>
          <w:rFonts w:cs="Arial"/>
        </w:rPr>
        <w:t xml:space="preserve"> a positive role-model, </w:t>
      </w:r>
      <w:r>
        <w:rPr>
          <w:rFonts w:cs="Arial"/>
        </w:rPr>
        <w:t>delivering</w:t>
      </w:r>
      <w:r w:rsidRPr="00501B8B">
        <w:rPr>
          <w:rFonts w:cs="Arial"/>
        </w:rPr>
        <w:t xml:space="preserve"> high-quality</w:t>
      </w:r>
      <w:r>
        <w:rPr>
          <w:rFonts w:cs="Arial"/>
        </w:rPr>
        <w:t xml:space="preserve">, </w:t>
      </w:r>
      <w:r w:rsidRPr="00501B8B">
        <w:rPr>
          <w:rFonts w:cs="Arial"/>
        </w:rPr>
        <w:t xml:space="preserve">personalised </w:t>
      </w:r>
      <w:r>
        <w:rPr>
          <w:rFonts w:cs="Arial"/>
        </w:rPr>
        <w:t xml:space="preserve">one-to-one mentoring </w:t>
      </w:r>
      <w:r w:rsidRPr="00501B8B">
        <w:rPr>
          <w:rFonts w:cs="Arial"/>
        </w:rPr>
        <w:t>support</w:t>
      </w:r>
      <w:r>
        <w:rPr>
          <w:rFonts w:cs="Arial"/>
        </w:rPr>
        <w:t xml:space="preserve">, which </w:t>
      </w:r>
      <w:r w:rsidRPr="00501B8B">
        <w:rPr>
          <w:rFonts w:cs="Arial"/>
        </w:rPr>
        <w:t xml:space="preserve">will help young people to identify and address </w:t>
      </w:r>
      <w:r>
        <w:rPr>
          <w:rFonts w:cs="Arial"/>
        </w:rPr>
        <w:t xml:space="preserve">their </w:t>
      </w:r>
      <w:r w:rsidRPr="00501B8B">
        <w:rPr>
          <w:rFonts w:cs="Arial"/>
        </w:rPr>
        <w:t xml:space="preserve">barriers </w:t>
      </w:r>
      <w:r>
        <w:rPr>
          <w:rFonts w:cs="Arial"/>
        </w:rPr>
        <w:t xml:space="preserve">to accessing and participating. </w:t>
      </w:r>
    </w:p>
    <w:p w:rsidR="00C30F90" w:rsidRDefault="00C30F90" w:rsidP="005B6524">
      <w:pPr>
        <w:spacing w:line="360" w:lineRule="auto"/>
        <w:jc w:val="both"/>
        <w:rPr>
          <w:rFonts w:cs="Arial"/>
        </w:rPr>
      </w:pPr>
      <w:r>
        <w:rPr>
          <w:rFonts w:cs="Arial"/>
        </w:rPr>
        <w:t>In addition, each participant will have access to a personalised budget, which will be used to overcome barriers,</w:t>
      </w:r>
      <w:r w:rsidRPr="00501B8B">
        <w:rPr>
          <w:rFonts w:cs="Arial"/>
        </w:rPr>
        <w:t xml:space="preserve"> for example transport</w:t>
      </w:r>
      <w:r>
        <w:rPr>
          <w:rFonts w:cs="Arial"/>
        </w:rPr>
        <w:t xml:space="preserve"> and travel</w:t>
      </w:r>
      <w:r w:rsidRPr="00501B8B">
        <w:rPr>
          <w:rFonts w:cs="Arial"/>
        </w:rPr>
        <w:t>, e</w:t>
      </w:r>
      <w:r>
        <w:rPr>
          <w:rFonts w:cs="Arial"/>
        </w:rPr>
        <w:t>quipment and clothing.</w:t>
      </w:r>
    </w:p>
    <w:p w:rsidR="00BE6CC8" w:rsidRDefault="00BE6CC8" w:rsidP="002C6678">
      <w:pPr>
        <w:spacing w:line="360" w:lineRule="auto"/>
        <w:jc w:val="both"/>
        <w:rPr>
          <w:rFonts w:cs="Arial"/>
        </w:rPr>
      </w:pPr>
    </w:p>
    <w:p w:rsidR="005B6524" w:rsidRDefault="005B6524" w:rsidP="002C6678">
      <w:pPr>
        <w:spacing w:line="360" w:lineRule="auto"/>
        <w:jc w:val="both"/>
        <w:rPr>
          <w:rFonts w:cs="Arial"/>
        </w:rPr>
      </w:pPr>
    </w:p>
    <w:p w:rsidR="005B6524" w:rsidRDefault="005B6524" w:rsidP="002C6678">
      <w:pPr>
        <w:spacing w:line="360" w:lineRule="auto"/>
        <w:jc w:val="both"/>
        <w:rPr>
          <w:rFonts w:cs="Arial"/>
        </w:rPr>
      </w:pPr>
    </w:p>
    <w:p w:rsidR="005B6524" w:rsidRDefault="005B6524" w:rsidP="002C6678">
      <w:pPr>
        <w:spacing w:line="360" w:lineRule="auto"/>
        <w:jc w:val="both"/>
        <w:rPr>
          <w:rFonts w:cs="Arial"/>
        </w:rPr>
      </w:pPr>
    </w:p>
    <w:p w:rsidR="005B6524" w:rsidRDefault="005B6524" w:rsidP="002C6678">
      <w:pPr>
        <w:spacing w:line="360" w:lineRule="auto"/>
        <w:jc w:val="both"/>
        <w:rPr>
          <w:rFonts w:cs="Arial"/>
        </w:rPr>
      </w:pPr>
    </w:p>
    <w:p w:rsidR="005B6524" w:rsidRDefault="005B6524" w:rsidP="002C6678">
      <w:pPr>
        <w:spacing w:line="360" w:lineRule="auto"/>
        <w:jc w:val="both"/>
        <w:rPr>
          <w:rFonts w:cs="Arial"/>
        </w:rPr>
      </w:pPr>
    </w:p>
    <w:p w:rsidR="005B6524" w:rsidRDefault="005B6524" w:rsidP="002C6678">
      <w:pPr>
        <w:spacing w:line="360" w:lineRule="auto"/>
        <w:jc w:val="both"/>
        <w:rPr>
          <w:rFonts w:cs="Arial"/>
        </w:rPr>
      </w:pPr>
    </w:p>
    <w:p w:rsidR="005B6524" w:rsidRDefault="005B6524" w:rsidP="002C6678">
      <w:pPr>
        <w:spacing w:line="360" w:lineRule="auto"/>
        <w:jc w:val="both"/>
        <w:rPr>
          <w:rFonts w:cs="Arial"/>
        </w:rPr>
      </w:pPr>
    </w:p>
    <w:p w:rsidR="005B6524" w:rsidRDefault="005B6524" w:rsidP="002C6678">
      <w:pPr>
        <w:spacing w:line="360" w:lineRule="auto"/>
        <w:jc w:val="both"/>
        <w:rPr>
          <w:rFonts w:cs="Arial"/>
        </w:rPr>
      </w:pPr>
    </w:p>
    <w:p w:rsidR="00923A36" w:rsidRPr="00923A36" w:rsidRDefault="00DA7676" w:rsidP="002C6678">
      <w:pPr>
        <w:spacing w:line="360" w:lineRule="auto"/>
        <w:jc w:val="both"/>
        <w:rPr>
          <w:rFonts w:cs="Arial"/>
          <w:b/>
        </w:rPr>
      </w:pPr>
      <w:r>
        <w:rPr>
          <w:rFonts w:cs="Arial"/>
          <w:b/>
        </w:rPr>
        <w:t>3.</w:t>
      </w:r>
      <w:r>
        <w:rPr>
          <w:rFonts w:cs="Arial"/>
          <w:b/>
        </w:rPr>
        <w:tab/>
      </w:r>
      <w:r w:rsidR="00923A36">
        <w:rPr>
          <w:rFonts w:cs="Arial"/>
          <w:b/>
        </w:rPr>
        <w:t>Service Requirements</w:t>
      </w:r>
    </w:p>
    <w:p w:rsidR="00B34A2B" w:rsidRDefault="00B34A2B" w:rsidP="002C6678">
      <w:pPr>
        <w:spacing w:line="360" w:lineRule="auto"/>
        <w:jc w:val="both"/>
        <w:rPr>
          <w:rFonts w:cs="Arial"/>
        </w:rPr>
      </w:pPr>
    </w:p>
    <w:p w:rsidR="00E03EC2" w:rsidRPr="00543C27" w:rsidRDefault="00E03EC2" w:rsidP="00E03EC2">
      <w:pPr>
        <w:tabs>
          <w:tab w:val="right" w:leader="dot" w:pos="9072"/>
        </w:tabs>
        <w:spacing w:line="360" w:lineRule="auto"/>
        <w:rPr>
          <w:rFonts w:cs="Arial"/>
        </w:rPr>
      </w:pPr>
      <w:r>
        <w:rPr>
          <w:rFonts w:cs="Arial"/>
        </w:rPr>
        <w:t xml:space="preserve">By delivering this </w:t>
      </w:r>
      <w:r w:rsidR="00923A36" w:rsidRPr="00543C27">
        <w:rPr>
          <w:rFonts w:cs="Arial"/>
        </w:rPr>
        <w:t>contract</w:t>
      </w:r>
      <w:r w:rsidRPr="00543C27">
        <w:rPr>
          <w:rFonts w:cs="Arial"/>
        </w:rPr>
        <w:t>, we expect the Provider to:</w:t>
      </w:r>
    </w:p>
    <w:p w:rsidR="00E03EC2" w:rsidRPr="00543C27" w:rsidRDefault="00E03EC2" w:rsidP="00E03EC2">
      <w:pPr>
        <w:pStyle w:val="ListParagraph"/>
        <w:numPr>
          <w:ilvl w:val="0"/>
          <w:numId w:val="5"/>
        </w:numPr>
        <w:autoSpaceDE w:val="0"/>
        <w:autoSpaceDN w:val="0"/>
        <w:adjustRightInd w:val="0"/>
        <w:spacing w:line="360" w:lineRule="auto"/>
        <w:ind w:left="284" w:hanging="284"/>
        <w:jc w:val="both"/>
        <w:rPr>
          <w:rFonts w:cs="Arial"/>
        </w:rPr>
      </w:pPr>
      <w:r w:rsidRPr="00543C27">
        <w:rPr>
          <w:rFonts w:cs="Arial"/>
        </w:rPr>
        <w:lastRenderedPageBreak/>
        <w:t xml:space="preserve">Develop an </w:t>
      </w:r>
      <w:r w:rsidR="00CD6093" w:rsidRPr="00543C27">
        <w:rPr>
          <w:rFonts w:cs="Arial"/>
        </w:rPr>
        <w:t>age-</w:t>
      </w:r>
      <w:r w:rsidRPr="00543C27">
        <w:rPr>
          <w:rFonts w:cs="Arial"/>
        </w:rPr>
        <w:t xml:space="preserve">appropriate </w:t>
      </w:r>
      <w:r w:rsidR="00923A36" w:rsidRPr="00543C27">
        <w:rPr>
          <w:rFonts w:cs="Arial"/>
        </w:rPr>
        <w:t xml:space="preserve">re-engagement </w:t>
      </w:r>
      <w:r w:rsidRPr="00543C27">
        <w:rPr>
          <w:rFonts w:cs="Arial"/>
        </w:rPr>
        <w:t xml:space="preserve">offer, </w:t>
      </w:r>
      <w:r w:rsidR="00465361" w:rsidRPr="00543C27">
        <w:rPr>
          <w:rFonts w:cs="Arial"/>
        </w:rPr>
        <w:t>working towards full participation</w:t>
      </w:r>
      <w:r w:rsidR="00BD579E" w:rsidRPr="00543C27">
        <w:rPr>
          <w:rStyle w:val="FootnoteReference"/>
          <w:rFonts w:cs="Arial"/>
        </w:rPr>
        <w:footnoteReference w:id="4"/>
      </w:r>
      <w:r w:rsidR="00CD6093" w:rsidRPr="00543C27">
        <w:rPr>
          <w:rFonts w:cs="Arial"/>
        </w:rPr>
        <w:t>, that</w:t>
      </w:r>
      <w:r w:rsidRPr="00543C27">
        <w:rPr>
          <w:rFonts w:cs="Arial"/>
        </w:rPr>
        <w:t xml:space="preserve"> he</w:t>
      </w:r>
      <w:r w:rsidR="00CD6093" w:rsidRPr="00543C27">
        <w:rPr>
          <w:rFonts w:cs="Arial"/>
        </w:rPr>
        <w:t>lps</w:t>
      </w:r>
      <w:r w:rsidR="00923A36" w:rsidRPr="00543C27">
        <w:rPr>
          <w:rFonts w:cs="Arial"/>
        </w:rPr>
        <w:t xml:space="preserve"> participants</w:t>
      </w:r>
      <w:r w:rsidRPr="00543C27">
        <w:rPr>
          <w:rFonts w:cs="Arial"/>
        </w:rPr>
        <w:t xml:space="preserve"> to obtain the </w:t>
      </w:r>
      <w:r w:rsidR="00923A36" w:rsidRPr="00543C27">
        <w:rPr>
          <w:rFonts w:cs="Arial"/>
        </w:rPr>
        <w:t>skills, confidence and competencies</w:t>
      </w:r>
      <w:r w:rsidRPr="00543C27">
        <w:rPr>
          <w:rFonts w:cs="Arial"/>
        </w:rPr>
        <w:t xml:space="preserve"> needed to progress into</w:t>
      </w:r>
      <w:r w:rsidR="00393870" w:rsidRPr="00543C27">
        <w:rPr>
          <w:rFonts w:cs="Arial"/>
        </w:rPr>
        <w:t xml:space="preserve"> </w:t>
      </w:r>
      <w:r w:rsidR="00CD6093" w:rsidRPr="00543C27">
        <w:rPr>
          <w:rFonts w:cs="Arial"/>
        </w:rPr>
        <w:t xml:space="preserve">future </w:t>
      </w:r>
      <w:r w:rsidR="00393870" w:rsidRPr="00543C27">
        <w:rPr>
          <w:rFonts w:cs="Arial"/>
        </w:rPr>
        <w:t>EET</w:t>
      </w:r>
      <w:r w:rsidR="00CD6093" w:rsidRPr="00543C27">
        <w:rPr>
          <w:rFonts w:cs="Arial"/>
        </w:rPr>
        <w:t xml:space="preserve"> provision</w:t>
      </w:r>
      <w:r w:rsidR="00393870" w:rsidRPr="00543C27">
        <w:rPr>
          <w:rFonts w:cs="Arial"/>
        </w:rPr>
        <w:t>.</w:t>
      </w:r>
    </w:p>
    <w:p w:rsidR="00BD579E" w:rsidRPr="00543C27" w:rsidRDefault="00BD579E" w:rsidP="00E03EC2">
      <w:pPr>
        <w:pStyle w:val="ListParagraph"/>
        <w:numPr>
          <w:ilvl w:val="0"/>
          <w:numId w:val="5"/>
        </w:numPr>
        <w:autoSpaceDE w:val="0"/>
        <w:autoSpaceDN w:val="0"/>
        <w:adjustRightInd w:val="0"/>
        <w:spacing w:line="360" w:lineRule="auto"/>
        <w:ind w:left="284" w:hanging="284"/>
        <w:jc w:val="both"/>
        <w:rPr>
          <w:rFonts w:cs="Arial"/>
        </w:rPr>
      </w:pPr>
      <w:r w:rsidRPr="00543C27">
        <w:rPr>
          <w:rFonts w:cs="Arial"/>
        </w:rPr>
        <w:t xml:space="preserve">Engage with young people for a minimum </w:t>
      </w:r>
      <w:r w:rsidR="003B3097" w:rsidRPr="00543C27">
        <w:rPr>
          <w:rFonts w:cs="Arial"/>
        </w:rPr>
        <w:t>of</w:t>
      </w:r>
      <w:r w:rsidR="00824858" w:rsidRPr="00543C27">
        <w:rPr>
          <w:rFonts w:cs="Arial"/>
        </w:rPr>
        <w:t xml:space="preserve"> </w:t>
      </w:r>
      <w:r w:rsidR="00465361" w:rsidRPr="00543C27">
        <w:rPr>
          <w:rFonts w:cs="Arial"/>
        </w:rPr>
        <w:t>12</w:t>
      </w:r>
      <w:r w:rsidR="00271DC0" w:rsidRPr="00543C27">
        <w:rPr>
          <w:rFonts w:cs="Arial"/>
        </w:rPr>
        <w:t xml:space="preserve"> </w:t>
      </w:r>
      <w:r w:rsidRPr="00543C27">
        <w:rPr>
          <w:rFonts w:cs="Arial"/>
        </w:rPr>
        <w:t>hours per week</w:t>
      </w:r>
      <w:r w:rsidR="00CD6093" w:rsidRPr="00543C27">
        <w:rPr>
          <w:rFonts w:cs="Arial"/>
        </w:rPr>
        <w:t>, supporting them to</w:t>
      </w:r>
      <w:r w:rsidRPr="00543C27">
        <w:rPr>
          <w:rFonts w:cs="Arial"/>
        </w:rPr>
        <w:t xml:space="preserve"> work towards </w:t>
      </w:r>
      <w:r w:rsidR="00CD6093" w:rsidRPr="00543C27">
        <w:rPr>
          <w:rFonts w:cs="Arial"/>
        </w:rPr>
        <w:t xml:space="preserve">achievable </w:t>
      </w:r>
      <w:r w:rsidR="00D40C78" w:rsidRPr="00543C27">
        <w:rPr>
          <w:rFonts w:cs="Arial"/>
        </w:rPr>
        <w:t xml:space="preserve">qualifications and professional </w:t>
      </w:r>
      <w:r w:rsidRPr="00543C27">
        <w:rPr>
          <w:rFonts w:cs="Arial"/>
        </w:rPr>
        <w:t>accreditation</w:t>
      </w:r>
      <w:r w:rsidR="00CD6093" w:rsidRPr="00543C27">
        <w:rPr>
          <w:rFonts w:cs="Arial"/>
        </w:rPr>
        <w:t xml:space="preserve"> awards</w:t>
      </w:r>
      <w:r w:rsidR="00465361" w:rsidRPr="00543C27">
        <w:rPr>
          <w:rFonts w:cs="Arial"/>
        </w:rPr>
        <w:t>, where appropriate</w:t>
      </w:r>
      <w:r w:rsidR="00543C27" w:rsidRPr="00543C27">
        <w:rPr>
          <w:rFonts w:cs="Arial"/>
        </w:rPr>
        <w:t>.</w:t>
      </w:r>
    </w:p>
    <w:p w:rsidR="00E03EC2" w:rsidRPr="00501B8B" w:rsidRDefault="00923A36" w:rsidP="00E03EC2">
      <w:pPr>
        <w:pStyle w:val="ListParagraph"/>
        <w:numPr>
          <w:ilvl w:val="0"/>
          <w:numId w:val="5"/>
        </w:numPr>
        <w:autoSpaceDE w:val="0"/>
        <w:autoSpaceDN w:val="0"/>
        <w:adjustRightInd w:val="0"/>
        <w:spacing w:line="360" w:lineRule="auto"/>
        <w:ind w:left="284" w:hanging="284"/>
        <w:jc w:val="both"/>
        <w:rPr>
          <w:rFonts w:cs="Arial"/>
        </w:rPr>
      </w:pPr>
      <w:r>
        <w:rPr>
          <w:rFonts w:cs="Arial"/>
        </w:rPr>
        <w:lastRenderedPageBreak/>
        <w:t>Work with</w:t>
      </w:r>
      <w:r w:rsidR="00E03EC2" w:rsidRPr="00501B8B">
        <w:rPr>
          <w:rFonts w:cs="Arial"/>
        </w:rPr>
        <w:t xml:space="preserve"> </w:t>
      </w:r>
      <w:r>
        <w:rPr>
          <w:rFonts w:cs="Arial"/>
        </w:rPr>
        <w:t xml:space="preserve">other </w:t>
      </w:r>
      <w:r w:rsidR="00E03EC2" w:rsidRPr="00501B8B">
        <w:rPr>
          <w:rFonts w:cs="Arial"/>
        </w:rPr>
        <w:t>local providers</w:t>
      </w:r>
      <w:r w:rsidR="00465361">
        <w:rPr>
          <w:rFonts w:cs="Arial"/>
        </w:rPr>
        <w:t xml:space="preserve"> </w:t>
      </w:r>
      <w:r w:rsidR="00B04811">
        <w:rPr>
          <w:rFonts w:cs="Arial"/>
        </w:rPr>
        <w:t>(e.g. Salford City College, Sale Sharks</w:t>
      </w:r>
      <w:r w:rsidR="00E7017A">
        <w:rPr>
          <w:rFonts w:cs="Arial"/>
        </w:rPr>
        <w:t xml:space="preserve"> and Raise the Youth Foundation</w:t>
      </w:r>
      <w:r w:rsidR="00B04811">
        <w:rPr>
          <w:rFonts w:cs="Arial"/>
        </w:rPr>
        <w:t xml:space="preserve">) </w:t>
      </w:r>
      <w:r w:rsidR="00E7017A">
        <w:rPr>
          <w:rFonts w:cs="Arial"/>
        </w:rPr>
        <w:t xml:space="preserve">to </w:t>
      </w:r>
      <w:r w:rsidR="00E03EC2" w:rsidRPr="00501B8B">
        <w:rPr>
          <w:rFonts w:cs="Arial"/>
        </w:rPr>
        <w:t xml:space="preserve">meet local needs and </w:t>
      </w:r>
      <w:r>
        <w:rPr>
          <w:rFonts w:cs="Arial"/>
        </w:rPr>
        <w:t>avoid duplication and/or displacement</w:t>
      </w:r>
      <w:r w:rsidR="00E03EC2" w:rsidRPr="00501B8B">
        <w:rPr>
          <w:rFonts w:cs="Arial"/>
        </w:rPr>
        <w:t xml:space="preserve"> </w:t>
      </w:r>
      <w:r>
        <w:rPr>
          <w:rFonts w:cs="Arial"/>
        </w:rPr>
        <w:t xml:space="preserve">of </w:t>
      </w:r>
      <w:r w:rsidR="00E03EC2" w:rsidRPr="00501B8B">
        <w:rPr>
          <w:rFonts w:cs="Arial"/>
        </w:rPr>
        <w:t>existing services and initiatives that are already working effectiv</w:t>
      </w:r>
      <w:r w:rsidR="00E03EC2">
        <w:rPr>
          <w:rFonts w:cs="Arial"/>
        </w:rPr>
        <w:t xml:space="preserve">ely with young people in </w:t>
      </w:r>
      <w:r w:rsidR="00E7017A">
        <w:rPr>
          <w:rFonts w:cs="Arial"/>
        </w:rPr>
        <w:t>LH</w:t>
      </w:r>
      <w:r w:rsidR="00E03EC2" w:rsidRPr="00501B8B">
        <w:rPr>
          <w:rFonts w:cs="Arial"/>
        </w:rPr>
        <w:t>.</w:t>
      </w:r>
    </w:p>
    <w:p w:rsidR="00E03EC2" w:rsidRPr="00501B8B" w:rsidRDefault="00E03EC2" w:rsidP="00E03EC2">
      <w:pPr>
        <w:pStyle w:val="ListParagraph"/>
        <w:numPr>
          <w:ilvl w:val="0"/>
          <w:numId w:val="5"/>
        </w:numPr>
        <w:autoSpaceDE w:val="0"/>
        <w:autoSpaceDN w:val="0"/>
        <w:adjustRightInd w:val="0"/>
        <w:spacing w:line="360" w:lineRule="auto"/>
        <w:ind w:left="284" w:hanging="284"/>
        <w:jc w:val="both"/>
        <w:rPr>
          <w:rFonts w:cs="Arial"/>
        </w:rPr>
      </w:pPr>
      <w:r w:rsidRPr="00501B8B">
        <w:rPr>
          <w:rFonts w:cs="Arial"/>
        </w:rPr>
        <w:t xml:space="preserve">Support the role of the voluntary, community and social enterprise (VCSE) sector </w:t>
      </w:r>
      <w:r w:rsidR="00923A36">
        <w:rPr>
          <w:rFonts w:cs="Arial"/>
        </w:rPr>
        <w:t>by encouraging participation in</w:t>
      </w:r>
      <w:r w:rsidR="00E7017A">
        <w:rPr>
          <w:rFonts w:cs="Arial"/>
        </w:rPr>
        <w:t xml:space="preserve"> volunteering, training and work-related </w:t>
      </w:r>
      <w:r w:rsidRPr="00501B8B">
        <w:rPr>
          <w:rFonts w:cs="Arial"/>
        </w:rPr>
        <w:t>experience</w:t>
      </w:r>
      <w:r w:rsidR="00E7017A">
        <w:rPr>
          <w:rStyle w:val="FootnoteReference"/>
          <w:rFonts w:cs="Arial"/>
        </w:rPr>
        <w:footnoteReference w:id="5"/>
      </w:r>
      <w:r w:rsidR="00E7017A">
        <w:rPr>
          <w:rFonts w:cs="Arial"/>
        </w:rPr>
        <w:t>.</w:t>
      </w:r>
    </w:p>
    <w:p w:rsidR="00E03EC2" w:rsidRDefault="00923A36" w:rsidP="00E03EC2">
      <w:pPr>
        <w:pStyle w:val="ListParagraph"/>
        <w:numPr>
          <w:ilvl w:val="0"/>
          <w:numId w:val="5"/>
        </w:numPr>
        <w:autoSpaceDE w:val="0"/>
        <w:autoSpaceDN w:val="0"/>
        <w:adjustRightInd w:val="0"/>
        <w:spacing w:line="360" w:lineRule="auto"/>
        <w:ind w:left="284" w:hanging="284"/>
        <w:jc w:val="both"/>
        <w:rPr>
          <w:rFonts w:cs="Arial"/>
        </w:rPr>
      </w:pPr>
      <w:r>
        <w:rPr>
          <w:rFonts w:cs="Arial"/>
        </w:rPr>
        <w:t xml:space="preserve">Work </w:t>
      </w:r>
      <w:r w:rsidR="00793171">
        <w:rPr>
          <w:rFonts w:cs="Arial"/>
        </w:rPr>
        <w:t xml:space="preserve">in partnership </w:t>
      </w:r>
      <w:r>
        <w:rPr>
          <w:rFonts w:cs="Arial"/>
        </w:rPr>
        <w:t xml:space="preserve">with the </w:t>
      </w:r>
      <w:r w:rsidR="00E7017A">
        <w:rPr>
          <w:rFonts w:cs="Arial"/>
        </w:rPr>
        <w:t xml:space="preserve">Career Connect </w:t>
      </w:r>
      <w:r>
        <w:rPr>
          <w:rFonts w:cs="Arial"/>
        </w:rPr>
        <w:t>Connexions Service</w:t>
      </w:r>
      <w:r w:rsidR="00793171">
        <w:rPr>
          <w:rFonts w:cs="Arial"/>
        </w:rPr>
        <w:t>,</w:t>
      </w:r>
      <w:r>
        <w:rPr>
          <w:rFonts w:cs="Arial"/>
        </w:rPr>
        <w:t xml:space="preserve"> to</w:t>
      </w:r>
      <w:r w:rsidR="00E03EC2" w:rsidRPr="00501B8B">
        <w:rPr>
          <w:rFonts w:cs="Arial"/>
        </w:rPr>
        <w:t xml:space="preserve"> </w:t>
      </w:r>
      <w:r>
        <w:rPr>
          <w:rFonts w:cs="Arial"/>
        </w:rPr>
        <w:t xml:space="preserve">identify and engage </w:t>
      </w:r>
      <w:r w:rsidR="00793171">
        <w:rPr>
          <w:rFonts w:cs="Arial"/>
        </w:rPr>
        <w:t>participants on the programme.</w:t>
      </w:r>
    </w:p>
    <w:p w:rsidR="00923A36" w:rsidRDefault="00B04811" w:rsidP="00E03EC2">
      <w:pPr>
        <w:pStyle w:val="ListParagraph"/>
        <w:numPr>
          <w:ilvl w:val="0"/>
          <w:numId w:val="5"/>
        </w:numPr>
        <w:autoSpaceDE w:val="0"/>
        <w:autoSpaceDN w:val="0"/>
        <w:adjustRightInd w:val="0"/>
        <w:spacing w:line="360" w:lineRule="auto"/>
        <w:ind w:left="284" w:hanging="284"/>
        <w:jc w:val="both"/>
        <w:rPr>
          <w:rFonts w:cs="Arial"/>
        </w:rPr>
      </w:pPr>
      <w:r>
        <w:rPr>
          <w:rFonts w:cs="Arial"/>
        </w:rPr>
        <w:lastRenderedPageBreak/>
        <w:t>Administer a personalised budget</w:t>
      </w:r>
      <w:r w:rsidR="00793171">
        <w:rPr>
          <w:rFonts w:cs="Arial"/>
        </w:rPr>
        <w:t xml:space="preserve"> element</w:t>
      </w:r>
      <w:r>
        <w:rPr>
          <w:rFonts w:cs="Arial"/>
        </w:rPr>
        <w:t xml:space="preserve"> for participants </w:t>
      </w:r>
      <w:r w:rsidR="00793171">
        <w:rPr>
          <w:rFonts w:cs="Arial"/>
        </w:rPr>
        <w:t>requiring</w:t>
      </w:r>
      <w:r>
        <w:rPr>
          <w:rFonts w:cs="Arial"/>
        </w:rPr>
        <w:t xml:space="preserve"> additional support to</w:t>
      </w:r>
      <w:r w:rsidR="00793171">
        <w:rPr>
          <w:rFonts w:cs="Arial"/>
        </w:rPr>
        <w:t xml:space="preserve"> overcome barriers and issues affecting their</w:t>
      </w:r>
      <w:r>
        <w:rPr>
          <w:rFonts w:cs="Arial"/>
        </w:rPr>
        <w:t xml:space="preserve"> participation</w:t>
      </w:r>
      <w:r w:rsidR="00793171">
        <w:rPr>
          <w:rFonts w:cs="Arial"/>
        </w:rPr>
        <w:t xml:space="preserve"> in the programme and accessing opportunities</w:t>
      </w:r>
      <w:r>
        <w:rPr>
          <w:rFonts w:cs="Arial"/>
        </w:rPr>
        <w:t>.</w:t>
      </w:r>
    </w:p>
    <w:p w:rsidR="00B47451" w:rsidRDefault="00816501" w:rsidP="00E03EC2">
      <w:pPr>
        <w:pStyle w:val="ListParagraph"/>
        <w:numPr>
          <w:ilvl w:val="0"/>
          <w:numId w:val="5"/>
        </w:numPr>
        <w:autoSpaceDE w:val="0"/>
        <w:autoSpaceDN w:val="0"/>
        <w:adjustRightInd w:val="0"/>
        <w:spacing w:line="360" w:lineRule="auto"/>
        <w:ind w:left="284" w:hanging="284"/>
        <w:jc w:val="both"/>
        <w:rPr>
          <w:rFonts w:cs="Arial"/>
        </w:rPr>
      </w:pPr>
      <w:r>
        <w:rPr>
          <w:rFonts w:cs="Arial"/>
        </w:rPr>
        <w:t>To assess possible underlying undiagnosed support needs, by w</w:t>
      </w:r>
      <w:r w:rsidR="00B47451">
        <w:rPr>
          <w:rFonts w:cs="Arial"/>
        </w:rPr>
        <w:t>ork</w:t>
      </w:r>
      <w:r>
        <w:rPr>
          <w:rFonts w:cs="Arial"/>
        </w:rPr>
        <w:t>ing</w:t>
      </w:r>
      <w:r w:rsidR="00B47451">
        <w:rPr>
          <w:rFonts w:cs="Arial"/>
        </w:rPr>
        <w:t xml:space="preserve"> closely with the secondary school SENCO team</w:t>
      </w:r>
      <w:r>
        <w:rPr>
          <w:rFonts w:cs="Arial"/>
        </w:rPr>
        <w:t>,</w:t>
      </w:r>
      <w:r w:rsidR="00B47451">
        <w:rPr>
          <w:rFonts w:cs="Arial"/>
        </w:rPr>
        <w:t xml:space="preserve"> to </w:t>
      </w:r>
      <w:r>
        <w:rPr>
          <w:rFonts w:cs="Arial"/>
        </w:rPr>
        <w:t xml:space="preserve">provide </w:t>
      </w:r>
      <w:r w:rsidR="00B47451">
        <w:rPr>
          <w:rFonts w:cs="Arial"/>
        </w:rPr>
        <w:t>support</w:t>
      </w:r>
      <w:r>
        <w:rPr>
          <w:rFonts w:cs="Arial"/>
        </w:rPr>
        <w:t>ing</w:t>
      </w:r>
      <w:r w:rsidR="00B47451">
        <w:rPr>
          <w:rFonts w:cs="Arial"/>
        </w:rPr>
        <w:t xml:space="preserve"> </w:t>
      </w:r>
      <w:r>
        <w:rPr>
          <w:rFonts w:cs="Arial"/>
        </w:rPr>
        <w:t xml:space="preserve">evidence, such as observational reports, screening assessments and identifying risk factors, to support referrals to appropriate support services, such as Educational Psychology and CAMHS. </w:t>
      </w:r>
      <w:r w:rsidR="00B47451">
        <w:rPr>
          <w:rFonts w:cs="Arial"/>
        </w:rPr>
        <w:t xml:space="preserve"> </w:t>
      </w:r>
    </w:p>
    <w:p w:rsidR="00B04811" w:rsidRDefault="00B04811" w:rsidP="00E03EC2">
      <w:pPr>
        <w:pStyle w:val="ListParagraph"/>
        <w:numPr>
          <w:ilvl w:val="0"/>
          <w:numId w:val="5"/>
        </w:numPr>
        <w:autoSpaceDE w:val="0"/>
        <w:autoSpaceDN w:val="0"/>
        <w:adjustRightInd w:val="0"/>
        <w:spacing w:line="360" w:lineRule="auto"/>
        <w:ind w:left="284" w:hanging="284"/>
        <w:jc w:val="both"/>
        <w:rPr>
          <w:rFonts w:cs="Arial"/>
        </w:rPr>
      </w:pPr>
      <w:r>
        <w:rPr>
          <w:rFonts w:cs="Arial"/>
        </w:rPr>
        <w:t xml:space="preserve">Engage with the parents/carers and other relevant family members of participants, </w:t>
      </w:r>
      <w:r w:rsidRPr="00BE6CC8">
        <w:rPr>
          <w:rFonts w:cs="Arial"/>
        </w:rPr>
        <w:t xml:space="preserve">to ensure there is a holistic </w:t>
      </w:r>
      <w:r w:rsidR="00793171">
        <w:rPr>
          <w:rFonts w:cs="Arial"/>
        </w:rPr>
        <w:t xml:space="preserve">supportive </w:t>
      </w:r>
      <w:r w:rsidRPr="00BE6CC8">
        <w:rPr>
          <w:rFonts w:cs="Arial"/>
        </w:rPr>
        <w:t>approach</w:t>
      </w:r>
      <w:r w:rsidR="00793171">
        <w:rPr>
          <w:rFonts w:cs="Arial"/>
        </w:rPr>
        <w:t xml:space="preserve">. </w:t>
      </w:r>
    </w:p>
    <w:p w:rsidR="00012854" w:rsidRDefault="008F4E8E" w:rsidP="00B47451">
      <w:pPr>
        <w:pStyle w:val="ListParagraph"/>
        <w:numPr>
          <w:ilvl w:val="0"/>
          <w:numId w:val="5"/>
        </w:numPr>
        <w:autoSpaceDE w:val="0"/>
        <w:autoSpaceDN w:val="0"/>
        <w:adjustRightInd w:val="0"/>
        <w:spacing w:line="360" w:lineRule="auto"/>
        <w:ind w:left="284" w:hanging="284"/>
        <w:jc w:val="both"/>
        <w:rPr>
          <w:rFonts w:cs="Arial"/>
        </w:rPr>
      </w:pPr>
      <w:r w:rsidRPr="00012854">
        <w:rPr>
          <w:rFonts w:cs="Arial"/>
        </w:rPr>
        <w:lastRenderedPageBreak/>
        <w:t xml:space="preserve">To conduct a piece of research </w:t>
      </w:r>
      <w:r w:rsidR="00012854" w:rsidRPr="00012854">
        <w:rPr>
          <w:rFonts w:cs="Arial"/>
        </w:rPr>
        <w:t xml:space="preserve">in consultation </w:t>
      </w:r>
      <w:r w:rsidRPr="00012854">
        <w:rPr>
          <w:rFonts w:cs="Arial"/>
        </w:rPr>
        <w:t xml:space="preserve">with </w:t>
      </w:r>
      <w:r w:rsidR="00012854" w:rsidRPr="00012854">
        <w:rPr>
          <w:rFonts w:cs="Arial"/>
        </w:rPr>
        <w:t xml:space="preserve">LH </w:t>
      </w:r>
      <w:r w:rsidRPr="00012854">
        <w:rPr>
          <w:rFonts w:cs="Arial"/>
        </w:rPr>
        <w:t>young people</w:t>
      </w:r>
      <w:r w:rsidR="00012854" w:rsidRPr="00012854">
        <w:rPr>
          <w:rFonts w:cs="Arial"/>
        </w:rPr>
        <w:t xml:space="preserve"> and other providers,</w:t>
      </w:r>
      <w:r w:rsidRPr="00012854">
        <w:rPr>
          <w:rFonts w:cs="Arial"/>
        </w:rPr>
        <w:t xml:space="preserve"> to identify reasons for becoming</w:t>
      </w:r>
      <w:r w:rsidR="00012854">
        <w:rPr>
          <w:rFonts w:cs="Arial"/>
        </w:rPr>
        <w:t xml:space="preserve"> disengaged.</w:t>
      </w:r>
    </w:p>
    <w:p w:rsidR="00B04811" w:rsidRPr="00012854" w:rsidRDefault="00B04811" w:rsidP="00B47451">
      <w:pPr>
        <w:pStyle w:val="ListParagraph"/>
        <w:numPr>
          <w:ilvl w:val="0"/>
          <w:numId w:val="5"/>
        </w:numPr>
        <w:autoSpaceDE w:val="0"/>
        <w:autoSpaceDN w:val="0"/>
        <w:adjustRightInd w:val="0"/>
        <w:spacing w:line="360" w:lineRule="auto"/>
        <w:ind w:left="284" w:hanging="284"/>
        <w:jc w:val="both"/>
        <w:rPr>
          <w:rFonts w:cs="Arial"/>
        </w:rPr>
      </w:pPr>
      <w:r w:rsidRPr="00012854">
        <w:rPr>
          <w:rFonts w:cs="Arial"/>
        </w:rPr>
        <w:t>Attend local forums and</w:t>
      </w:r>
      <w:r w:rsidR="00BE6CC8" w:rsidRPr="00012854">
        <w:rPr>
          <w:rFonts w:cs="Arial"/>
        </w:rPr>
        <w:t xml:space="preserve"> partnership</w:t>
      </w:r>
      <w:r w:rsidRPr="00012854">
        <w:rPr>
          <w:rFonts w:cs="Arial"/>
        </w:rPr>
        <w:t xml:space="preserve"> meetings </w:t>
      </w:r>
      <w:r w:rsidR="00793171" w:rsidRPr="00012854">
        <w:rPr>
          <w:rFonts w:cs="Arial"/>
        </w:rPr>
        <w:t>where possible, to raise awareness of the programme</w:t>
      </w:r>
      <w:r w:rsidRPr="00012854">
        <w:rPr>
          <w:rFonts w:cs="Arial"/>
        </w:rPr>
        <w:t xml:space="preserve">, including the LHBL Employment </w:t>
      </w:r>
      <w:r w:rsidR="00BE6CC8" w:rsidRPr="00012854">
        <w:rPr>
          <w:rFonts w:cs="Arial"/>
        </w:rPr>
        <w:t xml:space="preserve">and Enterprise Task </w:t>
      </w:r>
      <w:r w:rsidRPr="00012854">
        <w:rPr>
          <w:rFonts w:cs="Arial"/>
        </w:rPr>
        <w:t xml:space="preserve">Group, </w:t>
      </w:r>
      <w:r w:rsidR="00BE6CC8" w:rsidRPr="00012854">
        <w:rPr>
          <w:rFonts w:cs="Arial"/>
        </w:rPr>
        <w:t xml:space="preserve">the </w:t>
      </w:r>
      <w:r w:rsidRPr="00012854">
        <w:rPr>
          <w:rFonts w:cs="Arial"/>
        </w:rPr>
        <w:t xml:space="preserve">West Locality Outreach and Engagement </w:t>
      </w:r>
      <w:r w:rsidR="00BE6CC8" w:rsidRPr="00012854">
        <w:rPr>
          <w:rFonts w:cs="Arial"/>
        </w:rPr>
        <w:t xml:space="preserve">Partnership group and the Youth Provision Partnership group. </w:t>
      </w:r>
    </w:p>
    <w:p w:rsidR="00BE6CC8" w:rsidRDefault="00B945C9" w:rsidP="002A5BE1">
      <w:pPr>
        <w:pStyle w:val="ListParagraph"/>
        <w:numPr>
          <w:ilvl w:val="0"/>
          <w:numId w:val="5"/>
        </w:numPr>
        <w:autoSpaceDE w:val="0"/>
        <w:autoSpaceDN w:val="0"/>
        <w:adjustRightInd w:val="0"/>
        <w:spacing w:line="360" w:lineRule="auto"/>
        <w:jc w:val="both"/>
        <w:rPr>
          <w:rFonts w:cs="Arial"/>
        </w:rPr>
      </w:pPr>
      <w:r>
        <w:rPr>
          <w:rFonts w:cs="Arial"/>
        </w:rPr>
        <w:t>Submit quarterly</w:t>
      </w:r>
      <w:r w:rsidR="002A5BE1">
        <w:rPr>
          <w:rFonts w:cs="Arial"/>
        </w:rPr>
        <w:t xml:space="preserve"> evidence-based reports</w:t>
      </w:r>
      <w:r>
        <w:rPr>
          <w:rFonts w:cs="Arial"/>
        </w:rPr>
        <w:t>,</w:t>
      </w:r>
      <w:r w:rsidR="002A5BE1">
        <w:rPr>
          <w:rFonts w:cs="Arial"/>
        </w:rPr>
        <w:t xml:space="preserve"> </w:t>
      </w:r>
      <w:r w:rsidR="00B47451">
        <w:rPr>
          <w:rFonts w:cs="Arial"/>
        </w:rPr>
        <w:t xml:space="preserve">and an extensive </w:t>
      </w:r>
      <w:r w:rsidR="008F4E8E">
        <w:rPr>
          <w:rFonts w:cs="Arial"/>
        </w:rPr>
        <w:t xml:space="preserve">12-month evaluation, </w:t>
      </w:r>
      <w:r w:rsidR="002A5BE1">
        <w:rPr>
          <w:rFonts w:cs="Arial"/>
        </w:rPr>
        <w:t xml:space="preserve">as part of the performance </w:t>
      </w:r>
      <w:r>
        <w:rPr>
          <w:rFonts w:cs="Arial"/>
        </w:rPr>
        <w:t>monitoring and evaluation process to the</w:t>
      </w:r>
      <w:r w:rsidR="002A5BE1">
        <w:rPr>
          <w:rFonts w:cs="Arial"/>
        </w:rPr>
        <w:t xml:space="preserve"> LHBL. </w:t>
      </w:r>
    </w:p>
    <w:p w:rsidR="002A5BE1" w:rsidRPr="00012854" w:rsidRDefault="002A5BE1" w:rsidP="00012854">
      <w:pPr>
        <w:pStyle w:val="ListParagraph"/>
        <w:autoSpaceDE w:val="0"/>
        <w:autoSpaceDN w:val="0"/>
        <w:adjustRightInd w:val="0"/>
        <w:spacing w:line="360" w:lineRule="auto"/>
        <w:ind w:left="1800"/>
        <w:jc w:val="both"/>
        <w:rPr>
          <w:rFonts w:cs="Arial"/>
          <w:b/>
        </w:rPr>
      </w:pPr>
    </w:p>
    <w:p w:rsidR="008207B6" w:rsidRPr="00501B8B" w:rsidRDefault="00DA7676" w:rsidP="002C6678">
      <w:pPr>
        <w:spacing w:line="360" w:lineRule="auto"/>
        <w:jc w:val="both"/>
        <w:rPr>
          <w:rFonts w:cs="Arial"/>
          <w:b/>
        </w:rPr>
      </w:pPr>
      <w:r>
        <w:rPr>
          <w:rFonts w:cs="Arial"/>
          <w:b/>
        </w:rPr>
        <w:t>4.</w:t>
      </w:r>
      <w:r>
        <w:rPr>
          <w:rFonts w:cs="Arial"/>
          <w:b/>
        </w:rPr>
        <w:tab/>
      </w:r>
      <w:r w:rsidR="008207B6" w:rsidRPr="00501B8B">
        <w:rPr>
          <w:rFonts w:cs="Arial"/>
          <w:b/>
        </w:rPr>
        <w:t>Target Audience</w:t>
      </w:r>
    </w:p>
    <w:p w:rsidR="001E21BF" w:rsidRDefault="001E21BF" w:rsidP="002C6678">
      <w:pPr>
        <w:spacing w:line="360" w:lineRule="auto"/>
        <w:jc w:val="both"/>
      </w:pPr>
    </w:p>
    <w:p w:rsidR="00B04811" w:rsidRDefault="008207B6" w:rsidP="002C6678">
      <w:pPr>
        <w:spacing w:line="360" w:lineRule="auto"/>
        <w:jc w:val="both"/>
        <w:rPr>
          <w:rFonts w:cs="Arial"/>
        </w:rPr>
      </w:pPr>
      <w:r w:rsidRPr="00501B8B">
        <w:rPr>
          <w:rFonts w:cs="Arial"/>
        </w:rPr>
        <w:lastRenderedPageBreak/>
        <w:t xml:space="preserve">The </w:t>
      </w:r>
      <w:r w:rsidR="003A508A" w:rsidRPr="00501B8B">
        <w:rPr>
          <w:rFonts w:cs="Arial"/>
        </w:rPr>
        <w:t>provision will be expected to support</w:t>
      </w:r>
      <w:r w:rsidRPr="00501B8B">
        <w:rPr>
          <w:rFonts w:cs="Arial"/>
        </w:rPr>
        <w:t xml:space="preserve"> a minimum of </w:t>
      </w:r>
      <w:r w:rsidR="00B04811">
        <w:rPr>
          <w:rFonts w:cs="Arial"/>
        </w:rPr>
        <w:t>24</w:t>
      </w:r>
      <w:r w:rsidR="0023012B" w:rsidRPr="00501B8B">
        <w:rPr>
          <w:rFonts w:cs="Arial"/>
        </w:rPr>
        <w:t xml:space="preserve"> young people</w:t>
      </w:r>
      <w:r w:rsidR="003A508A" w:rsidRPr="00501B8B">
        <w:rPr>
          <w:rFonts w:cs="Arial"/>
        </w:rPr>
        <w:t>,</w:t>
      </w:r>
      <w:r w:rsidR="0023012B" w:rsidRPr="00501B8B">
        <w:rPr>
          <w:rFonts w:cs="Arial"/>
        </w:rPr>
        <w:t xml:space="preserve"> </w:t>
      </w:r>
      <w:r w:rsidR="005138A3">
        <w:rPr>
          <w:rFonts w:cs="Arial"/>
        </w:rPr>
        <w:t xml:space="preserve">across the 12 month duration, </w:t>
      </w:r>
      <w:r w:rsidR="00393870">
        <w:rPr>
          <w:rFonts w:cs="Arial"/>
        </w:rPr>
        <w:t>in</w:t>
      </w:r>
      <w:r w:rsidR="00B04811">
        <w:rPr>
          <w:rFonts w:cs="Arial"/>
        </w:rPr>
        <w:t xml:space="preserve"> </w:t>
      </w:r>
      <w:r w:rsidR="00BE6CC8">
        <w:rPr>
          <w:rFonts w:cs="Arial"/>
        </w:rPr>
        <w:t>KS4</w:t>
      </w:r>
      <w:r w:rsidR="00BE6CC8">
        <w:rPr>
          <w:rStyle w:val="FootnoteReference"/>
          <w:rFonts w:cs="Arial"/>
        </w:rPr>
        <w:footnoteReference w:id="6"/>
      </w:r>
      <w:r w:rsidR="00BE6CC8">
        <w:rPr>
          <w:rFonts w:cs="Arial"/>
        </w:rPr>
        <w:t xml:space="preserve"> </w:t>
      </w:r>
      <w:r w:rsidR="00920AE5">
        <w:rPr>
          <w:rFonts w:cs="Arial"/>
        </w:rPr>
        <w:t xml:space="preserve">and on-roll at a Little Hulton Secondary School or living in Little Hulton and elective home educated, </w:t>
      </w:r>
      <w:r w:rsidR="00393870">
        <w:rPr>
          <w:rFonts w:cs="Arial"/>
        </w:rPr>
        <w:t xml:space="preserve">who are </w:t>
      </w:r>
      <w:r w:rsidRPr="00501B8B">
        <w:rPr>
          <w:rFonts w:cs="Arial"/>
        </w:rPr>
        <w:t xml:space="preserve">at risk </w:t>
      </w:r>
      <w:r w:rsidR="00393870">
        <w:rPr>
          <w:rFonts w:cs="Arial"/>
        </w:rPr>
        <w:t>becoming of NEET</w:t>
      </w:r>
      <w:r w:rsidR="00465361">
        <w:rPr>
          <w:rFonts w:cs="Arial"/>
        </w:rPr>
        <w:t xml:space="preserve"> </w:t>
      </w:r>
      <w:r w:rsidR="00465361" w:rsidRPr="00465361">
        <w:rPr>
          <w:rFonts w:cs="Arial"/>
          <w:b/>
          <w:color w:val="FF0000"/>
        </w:rPr>
        <w:t>or</w:t>
      </w:r>
      <w:r w:rsidR="00393870">
        <w:rPr>
          <w:rFonts w:cs="Arial"/>
        </w:rPr>
        <w:t xml:space="preserve"> </w:t>
      </w:r>
      <w:r w:rsidR="00920AE5">
        <w:rPr>
          <w:rFonts w:cs="Arial"/>
        </w:rPr>
        <w:t xml:space="preserve">young people </w:t>
      </w:r>
      <w:r w:rsidR="00465361">
        <w:rPr>
          <w:rFonts w:cs="Arial"/>
        </w:rPr>
        <w:t>age</w:t>
      </w:r>
      <w:r w:rsidR="00465361" w:rsidRPr="00465361">
        <w:rPr>
          <w:rFonts w:cs="Arial"/>
          <w:color w:val="FF0000"/>
        </w:rPr>
        <w:t>d</w:t>
      </w:r>
      <w:r w:rsidR="00393870">
        <w:rPr>
          <w:rFonts w:cs="Arial"/>
        </w:rPr>
        <w:t xml:space="preserve"> 16-25</w:t>
      </w:r>
      <w:r w:rsidR="00393870" w:rsidRPr="00501B8B">
        <w:rPr>
          <w:rFonts w:cs="Arial"/>
        </w:rPr>
        <w:t xml:space="preserve"> who </w:t>
      </w:r>
      <w:r w:rsidR="00393870">
        <w:rPr>
          <w:rFonts w:cs="Arial"/>
        </w:rPr>
        <w:t>are currently</w:t>
      </w:r>
      <w:r w:rsidR="00393870" w:rsidRPr="00501B8B">
        <w:rPr>
          <w:rFonts w:cs="Arial"/>
        </w:rPr>
        <w:t xml:space="preserve"> NEET</w:t>
      </w:r>
      <w:r w:rsidR="00393870" w:rsidRPr="00501B8B">
        <w:rPr>
          <w:rStyle w:val="FootnoteReference"/>
          <w:rFonts w:cs="Arial"/>
        </w:rPr>
        <w:footnoteReference w:id="7"/>
      </w:r>
      <w:r w:rsidR="00393870" w:rsidRPr="00501B8B">
        <w:rPr>
          <w:rFonts w:cs="Arial"/>
        </w:rPr>
        <w:t xml:space="preserve"> </w:t>
      </w:r>
      <w:r w:rsidR="005138A3">
        <w:rPr>
          <w:rFonts w:cs="Arial"/>
        </w:rPr>
        <w:t>and living in LH</w:t>
      </w:r>
      <w:r w:rsidR="0023012B" w:rsidRPr="00501B8B">
        <w:rPr>
          <w:rFonts w:cs="Arial"/>
        </w:rPr>
        <w:t xml:space="preserve">. </w:t>
      </w:r>
      <w:r w:rsidR="00393870">
        <w:rPr>
          <w:rFonts w:cs="Arial"/>
        </w:rPr>
        <w:t xml:space="preserve">It is unlikely that these young people will be known to other services and they may not be claiming entitled out-of-work benefits, </w:t>
      </w:r>
      <w:r w:rsidR="005138A3">
        <w:rPr>
          <w:rFonts w:cs="Arial"/>
        </w:rPr>
        <w:t xml:space="preserve">and </w:t>
      </w:r>
      <w:r w:rsidR="00393870">
        <w:rPr>
          <w:rFonts w:cs="Arial"/>
        </w:rPr>
        <w:t>th</w:t>
      </w:r>
      <w:r w:rsidR="005138A3">
        <w:rPr>
          <w:rFonts w:cs="Arial"/>
        </w:rPr>
        <w:t>erefore</w:t>
      </w:r>
      <w:r w:rsidR="00393870">
        <w:rPr>
          <w:rFonts w:cs="Arial"/>
        </w:rPr>
        <w:t xml:space="preserve"> </w:t>
      </w:r>
      <w:r w:rsidR="005138A3">
        <w:rPr>
          <w:rFonts w:cs="Arial"/>
        </w:rPr>
        <w:t>are classed as</w:t>
      </w:r>
      <w:r w:rsidR="00393870">
        <w:rPr>
          <w:rFonts w:cs="Arial"/>
        </w:rPr>
        <w:t xml:space="preserve"> ‘hidden NEETs’. The provider will need to consider</w:t>
      </w:r>
      <w:r w:rsidR="005138A3">
        <w:rPr>
          <w:rFonts w:cs="Arial"/>
        </w:rPr>
        <w:t xml:space="preserve"> this when targeting </w:t>
      </w:r>
      <w:r w:rsidR="00393870">
        <w:rPr>
          <w:rFonts w:cs="Arial"/>
        </w:rPr>
        <w:t>the 16-25 cohort, to ensure that appropriate young people are identified and referred to the programme</w:t>
      </w:r>
      <w:r w:rsidR="005138A3">
        <w:rPr>
          <w:rFonts w:cs="Arial"/>
        </w:rPr>
        <w:t>, using innovative engagement methods</w:t>
      </w:r>
      <w:r w:rsidR="00393870">
        <w:rPr>
          <w:rFonts w:cs="Arial"/>
        </w:rPr>
        <w:t xml:space="preserve">. </w:t>
      </w:r>
    </w:p>
    <w:p w:rsidR="00B04811" w:rsidRDefault="00B04811" w:rsidP="002C6678">
      <w:pPr>
        <w:spacing w:line="360" w:lineRule="auto"/>
        <w:jc w:val="both"/>
        <w:rPr>
          <w:rFonts w:cs="Arial"/>
        </w:rPr>
      </w:pPr>
    </w:p>
    <w:p w:rsidR="003A508A" w:rsidRPr="00501B8B" w:rsidRDefault="0023012B" w:rsidP="002C6678">
      <w:pPr>
        <w:spacing w:line="360" w:lineRule="auto"/>
        <w:jc w:val="both"/>
        <w:rPr>
          <w:rFonts w:cs="Arial"/>
        </w:rPr>
      </w:pPr>
      <w:r w:rsidRPr="00501B8B">
        <w:rPr>
          <w:rFonts w:cs="Arial"/>
        </w:rPr>
        <w:lastRenderedPageBreak/>
        <w:t>Th</w:t>
      </w:r>
      <w:r w:rsidR="00B04811">
        <w:rPr>
          <w:rFonts w:cs="Arial"/>
        </w:rPr>
        <w:t>e provider will be expected to work with each participant</w:t>
      </w:r>
      <w:r w:rsidRPr="00501B8B">
        <w:rPr>
          <w:rFonts w:cs="Arial"/>
        </w:rPr>
        <w:t xml:space="preserve"> for a period of between 3-6</w:t>
      </w:r>
      <w:r w:rsidR="003A508A" w:rsidRPr="00501B8B">
        <w:rPr>
          <w:rFonts w:cs="Arial"/>
        </w:rPr>
        <w:t xml:space="preserve"> </w:t>
      </w:r>
      <w:r w:rsidRPr="00501B8B">
        <w:rPr>
          <w:rFonts w:cs="Arial"/>
        </w:rPr>
        <w:t>months</w:t>
      </w:r>
      <w:r w:rsidR="00B04811">
        <w:rPr>
          <w:rFonts w:cs="Arial"/>
        </w:rPr>
        <w:t>,</w:t>
      </w:r>
      <w:r w:rsidRPr="00501B8B">
        <w:rPr>
          <w:rFonts w:cs="Arial"/>
        </w:rPr>
        <w:t xml:space="preserve"> </w:t>
      </w:r>
      <w:r w:rsidR="003A508A" w:rsidRPr="00501B8B">
        <w:rPr>
          <w:rFonts w:cs="Arial"/>
        </w:rPr>
        <w:t>or longer where required.</w:t>
      </w:r>
      <w:r w:rsidRPr="00501B8B">
        <w:rPr>
          <w:rFonts w:cs="Arial"/>
        </w:rPr>
        <w:t xml:space="preserve"> </w:t>
      </w:r>
    </w:p>
    <w:p w:rsidR="00B070F7" w:rsidRPr="00501B8B" w:rsidRDefault="00B070F7" w:rsidP="002C6678">
      <w:pPr>
        <w:spacing w:line="360" w:lineRule="auto"/>
        <w:jc w:val="both"/>
        <w:rPr>
          <w:rFonts w:cs="Arial"/>
        </w:rPr>
      </w:pPr>
    </w:p>
    <w:p w:rsidR="00DF0A5C" w:rsidRPr="00501B8B" w:rsidRDefault="003A508A" w:rsidP="00DF0A5C">
      <w:pPr>
        <w:spacing w:line="360" w:lineRule="auto"/>
        <w:jc w:val="both"/>
        <w:rPr>
          <w:rFonts w:cs="Arial"/>
        </w:rPr>
      </w:pPr>
      <w:r w:rsidRPr="00501B8B">
        <w:rPr>
          <w:rFonts w:cs="Arial"/>
        </w:rPr>
        <w:t>Y</w:t>
      </w:r>
      <w:r w:rsidR="00B070F7" w:rsidRPr="00501B8B">
        <w:rPr>
          <w:rFonts w:cs="Arial"/>
        </w:rPr>
        <w:t xml:space="preserve">oung people </w:t>
      </w:r>
      <w:r w:rsidRPr="00501B8B">
        <w:rPr>
          <w:rFonts w:cs="Arial"/>
        </w:rPr>
        <w:t xml:space="preserve">will </w:t>
      </w:r>
      <w:r w:rsidR="00B04811">
        <w:rPr>
          <w:rFonts w:cs="Arial"/>
        </w:rPr>
        <w:t>be expected to</w:t>
      </w:r>
      <w:r w:rsidR="00B070F7" w:rsidRPr="00501B8B">
        <w:rPr>
          <w:rFonts w:cs="Arial"/>
        </w:rPr>
        <w:t xml:space="preserve"> have one or more of the following characteristics;</w:t>
      </w:r>
    </w:p>
    <w:p w:rsidR="002C649C" w:rsidRPr="00501B8B" w:rsidRDefault="002C649C" w:rsidP="002C649C">
      <w:pPr>
        <w:pStyle w:val="ListParagraph"/>
        <w:numPr>
          <w:ilvl w:val="0"/>
          <w:numId w:val="21"/>
        </w:numPr>
        <w:tabs>
          <w:tab w:val="right" w:leader="dot" w:pos="9072"/>
        </w:tabs>
        <w:spacing w:line="360" w:lineRule="auto"/>
        <w:rPr>
          <w:rFonts w:cs="Arial"/>
        </w:rPr>
      </w:pPr>
      <w:r>
        <w:rPr>
          <w:rFonts w:cs="Arial"/>
        </w:rPr>
        <w:t>Poor school attendance (identified as a persistent absentee at below 90%).</w:t>
      </w:r>
    </w:p>
    <w:p w:rsidR="00B070F7" w:rsidRPr="00501B8B" w:rsidRDefault="00B070F7" w:rsidP="002C6678">
      <w:pPr>
        <w:pStyle w:val="ListParagraph"/>
        <w:numPr>
          <w:ilvl w:val="0"/>
          <w:numId w:val="21"/>
        </w:numPr>
        <w:tabs>
          <w:tab w:val="right" w:leader="dot" w:pos="9072"/>
        </w:tabs>
        <w:spacing w:line="360" w:lineRule="auto"/>
        <w:rPr>
          <w:rFonts w:cs="Arial"/>
        </w:rPr>
      </w:pPr>
      <w:r w:rsidRPr="00501B8B">
        <w:rPr>
          <w:rFonts w:cs="Arial"/>
        </w:rPr>
        <w:t>Qualifications below Level 1 (or predicted low attainment levels if still in school).</w:t>
      </w:r>
    </w:p>
    <w:p w:rsidR="00B070F7" w:rsidRDefault="00B070F7" w:rsidP="002C6678">
      <w:pPr>
        <w:pStyle w:val="ListParagraph"/>
        <w:numPr>
          <w:ilvl w:val="0"/>
          <w:numId w:val="21"/>
        </w:numPr>
        <w:tabs>
          <w:tab w:val="right" w:leader="dot" w:pos="9072"/>
        </w:tabs>
        <w:spacing w:line="360" w:lineRule="auto"/>
        <w:rPr>
          <w:rFonts w:cs="Arial"/>
        </w:rPr>
      </w:pPr>
      <w:r w:rsidRPr="00501B8B">
        <w:rPr>
          <w:rFonts w:cs="Arial"/>
        </w:rPr>
        <w:t>School leave</w:t>
      </w:r>
      <w:r w:rsidR="00B04811">
        <w:rPr>
          <w:rFonts w:cs="Arial"/>
        </w:rPr>
        <w:t>rs</w:t>
      </w:r>
      <w:r w:rsidRPr="00501B8B">
        <w:rPr>
          <w:rFonts w:cs="Arial"/>
        </w:rPr>
        <w:t xml:space="preserve"> and not participating in education, employment (with or without training) or training. </w:t>
      </w:r>
    </w:p>
    <w:p w:rsidR="00FA2977" w:rsidRPr="00FA2977" w:rsidRDefault="00FA2977" w:rsidP="00FA2977">
      <w:pPr>
        <w:pStyle w:val="ListParagraph"/>
        <w:numPr>
          <w:ilvl w:val="0"/>
          <w:numId w:val="21"/>
        </w:numPr>
        <w:spacing w:line="360" w:lineRule="auto"/>
        <w:jc w:val="both"/>
        <w:rPr>
          <w:rFonts w:ascii="Calibri" w:hAnsi="Calibri"/>
          <w:sz w:val="22"/>
          <w:szCs w:val="22"/>
        </w:rPr>
      </w:pPr>
      <w:r>
        <w:t xml:space="preserve">Identified by </w:t>
      </w:r>
      <w:r w:rsidR="00E7017A">
        <w:t xml:space="preserve">the Career Connect </w:t>
      </w:r>
      <w:r>
        <w:t xml:space="preserve">Connexions </w:t>
      </w:r>
      <w:r w:rsidR="00E7017A">
        <w:t xml:space="preserve">Service </w:t>
      </w:r>
      <w:r>
        <w:t>as targeted and vulnerable</w:t>
      </w:r>
      <w:r w:rsidR="0090676B">
        <w:rPr>
          <w:rStyle w:val="FootnoteReference"/>
        </w:rPr>
        <w:footnoteReference w:id="8"/>
      </w:r>
      <w:r>
        <w:t>.</w:t>
      </w:r>
    </w:p>
    <w:p w:rsidR="00F16718" w:rsidRDefault="00F16718" w:rsidP="00FA2977">
      <w:pPr>
        <w:spacing w:line="360" w:lineRule="auto"/>
        <w:ind w:left="360"/>
        <w:jc w:val="both"/>
        <w:rPr>
          <w:rFonts w:cs="Arial"/>
        </w:rPr>
      </w:pPr>
    </w:p>
    <w:p w:rsidR="00BE6CC8" w:rsidRPr="00FA2977" w:rsidRDefault="0023012B" w:rsidP="00FA2977">
      <w:pPr>
        <w:spacing w:line="360" w:lineRule="auto"/>
        <w:ind w:left="360"/>
        <w:jc w:val="both"/>
        <w:rPr>
          <w:rFonts w:cs="Arial"/>
        </w:rPr>
      </w:pPr>
      <w:r w:rsidRPr="00FA2977">
        <w:rPr>
          <w:rFonts w:cs="Arial"/>
        </w:rPr>
        <w:t xml:space="preserve">The </w:t>
      </w:r>
      <w:r w:rsidR="003A508A" w:rsidRPr="00FA2977">
        <w:rPr>
          <w:rFonts w:cs="Arial"/>
        </w:rPr>
        <w:t xml:space="preserve">provision is </w:t>
      </w:r>
      <w:r w:rsidRPr="00FA2977">
        <w:rPr>
          <w:rFonts w:cs="Arial"/>
        </w:rPr>
        <w:t xml:space="preserve">expected to work in partnership with local </w:t>
      </w:r>
      <w:r w:rsidR="002C649C">
        <w:rPr>
          <w:rFonts w:cs="Arial"/>
        </w:rPr>
        <w:t>secondary school(s)</w:t>
      </w:r>
      <w:r w:rsidR="00920AE5">
        <w:rPr>
          <w:rStyle w:val="FootnoteReference"/>
          <w:rFonts w:cs="Arial"/>
        </w:rPr>
        <w:footnoteReference w:id="9"/>
      </w:r>
      <w:r w:rsidR="002C649C">
        <w:rPr>
          <w:rFonts w:cs="Arial"/>
        </w:rPr>
        <w:t xml:space="preserve">, Career Connect </w:t>
      </w:r>
      <w:r w:rsidRPr="00FA2977">
        <w:rPr>
          <w:rFonts w:cs="Arial"/>
        </w:rPr>
        <w:t>Connexions</w:t>
      </w:r>
      <w:r w:rsidR="002C649C">
        <w:rPr>
          <w:rFonts w:cs="Arial"/>
        </w:rPr>
        <w:t xml:space="preserve"> Service</w:t>
      </w:r>
      <w:r w:rsidRPr="00FA2977">
        <w:rPr>
          <w:rFonts w:cs="Arial"/>
        </w:rPr>
        <w:t>,</w:t>
      </w:r>
      <w:r w:rsidR="00DA7676" w:rsidRPr="00FA2977">
        <w:rPr>
          <w:rFonts w:cs="Arial"/>
        </w:rPr>
        <w:t xml:space="preserve"> Community Safety Response Team (CSRT) and the West Locality Early Help Hub</w:t>
      </w:r>
      <w:r w:rsidRPr="00FA2977">
        <w:rPr>
          <w:rFonts w:cs="Arial"/>
        </w:rPr>
        <w:t xml:space="preserve"> to identify </w:t>
      </w:r>
      <w:r w:rsidR="002C649C">
        <w:rPr>
          <w:rFonts w:cs="Arial"/>
        </w:rPr>
        <w:t xml:space="preserve">and support </w:t>
      </w:r>
      <w:r w:rsidRPr="00FA2977">
        <w:rPr>
          <w:rFonts w:cs="Arial"/>
        </w:rPr>
        <w:t xml:space="preserve">appropriate young people. The provider will also be expected to work with other </w:t>
      </w:r>
      <w:r w:rsidR="002C649C">
        <w:rPr>
          <w:rFonts w:cs="Arial"/>
        </w:rPr>
        <w:t>relevant support</w:t>
      </w:r>
      <w:r w:rsidRPr="00FA2977">
        <w:rPr>
          <w:rFonts w:cs="Arial"/>
        </w:rPr>
        <w:t xml:space="preserve"> services, for example CAMHS and the Youth </w:t>
      </w:r>
      <w:r w:rsidR="003B3097">
        <w:rPr>
          <w:rFonts w:cs="Arial"/>
        </w:rPr>
        <w:t xml:space="preserve">Support </w:t>
      </w:r>
      <w:r w:rsidRPr="00FA2977">
        <w:rPr>
          <w:rFonts w:cs="Arial"/>
        </w:rPr>
        <w:t>Service</w:t>
      </w:r>
      <w:r w:rsidR="003B3097">
        <w:rPr>
          <w:rFonts w:cs="Arial"/>
        </w:rPr>
        <w:t>’s,</w:t>
      </w:r>
      <w:r w:rsidR="002C649C">
        <w:rPr>
          <w:rFonts w:cs="Arial"/>
        </w:rPr>
        <w:t xml:space="preserve"> to provide an holistic approach</w:t>
      </w:r>
      <w:r w:rsidRPr="00FA2977">
        <w:rPr>
          <w:rFonts w:cs="Arial"/>
        </w:rPr>
        <w:t>.</w:t>
      </w:r>
    </w:p>
    <w:p w:rsidR="00BE6CC8" w:rsidRPr="00BE75C5" w:rsidRDefault="00BE6CC8" w:rsidP="002C6678">
      <w:pPr>
        <w:spacing w:line="360" w:lineRule="auto"/>
        <w:rPr>
          <w:rFonts w:cs="Arial"/>
          <w:b/>
        </w:rPr>
      </w:pPr>
    </w:p>
    <w:p w:rsidR="00FD03DE" w:rsidRDefault="00DA7676" w:rsidP="00DA7676">
      <w:pPr>
        <w:autoSpaceDE w:val="0"/>
        <w:autoSpaceDN w:val="0"/>
        <w:adjustRightInd w:val="0"/>
        <w:spacing w:line="360" w:lineRule="auto"/>
        <w:rPr>
          <w:rFonts w:cs="Arial"/>
          <w:b/>
        </w:rPr>
      </w:pPr>
      <w:r>
        <w:rPr>
          <w:rFonts w:cs="Arial"/>
          <w:b/>
        </w:rPr>
        <w:t>5.</w:t>
      </w:r>
      <w:r>
        <w:rPr>
          <w:rFonts w:cs="Arial"/>
          <w:b/>
        </w:rPr>
        <w:tab/>
      </w:r>
      <w:r w:rsidR="00BE75C5" w:rsidRPr="00DA7676">
        <w:rPr>
          <w:rFonts w:cs="Arial"/>
          <w:b/>
        </w:rPr>
        <w:t>Targets and Monitoring</w:t>
      </w:r>
    </w:p>
    <w:p w:rsidR="003D1CC3" w:rsidRPr="00DA7676" w:rsidRDefault="003D1CC3" w:rsidP="00C874D3">
      <w:pPr>
        <w:autoSpaceDE w:val="0"/>
        <w:autoSpaceDN w:val="0"/>
        <w:adjustRightInd w:val="0"/>
        <w:spacing w:line="360" w:lineRule="auto"/>
        <w:jc w:val="both"/>
        <w:rPr>
          <w:rFonts w:cs="Arial"/>
          <w:b/>
        </w:rPr>
      </w:pPr>
    </w:p>
    <w:p w:rsidR="002A5A36" w:rsidRPr="00C874D3" w:rsidRDefault="003D1CC3" w:rsidP="00C874D3">
      <w:pPr>
        <w:autoSpaceDE w:val="0"/>
        <w:autoSpaceDN w:val="0"/>
        <w:adjustRightInd w:val="0"/>
        <w:spacing w:line="360" w:lineRule="auto"/>
        <w:jc w:val="both"/>
        <w:rPr>
          <w:rFonts w:cs="Arial"/>
        </w:rPr>
      </w:pPr>
      <w:r w:rsidRPr="00C874D3">
        <w:rPr>
          <w:rFonts w:cs="Arial"/>
        </w:rPr>
        <w:t>Engagement;</w:t>
      </w:r>
    </w:p>
    <w:p w:rsidR="003D1CC3" w:rsidRPr="00C874D3" w:rsidRDefault="00154ED6" w:rsidP="00C874D3">
      <w:pPr>
        <w:pStyle w:val="ListParagraph"/>
        <w:numPr>
          <w:ilvl w:val="0"/>
          <w:numId w:val="35"/>
        </w:numPr>
        <w:autoSpaceDE w:val="0"/>
        <w:autoSpaceDN w:val="0"/>
        <w:adjustRightInd w:val="0"/>
        <w:spacing w:line="360" w:lineRule="auto"/>
        <w:jc w:val="both"/>
        <w:rPr>
          <w:rFonts w:cs="Arial"/>
        </w:rPr>
      </w:pPr>
      <w:r w:rsidRPr="00543C27">
        <w:rPr>
          <w:rFonts w:cs="Arial"/>
        </w:rPr>
        <w:lastRenderedPageBreak/>
        <w:t>12</w:t>
      </w:r>
      <w:r w:rsidR="003D1CC3" w:rsidRPr="00543C27">
        <w:rPr>
          <w:rFonts w:cs="Arial"/>
        </w:rPr>
        <w:t xml:space="preserve"> hours</w:t>
      </w:r>
      <w:r w:rsidR="003D1CC3" w:rsidRPr="00C874D3">
        <w:rPr>
          <w:rFonts w:cs="Arial"/>
        </w:rPr>
        <w:t xml:space="preserve"> per week engagement, </w:t>
      </w:r>
      <w:r w:rsidR="00E939AA" w:rsidRPr="00C874D3">
        <w:rPr>
          <w:rFonts w:cs="Arial"/>
        </w:rPr>
        <w:t>delivered to each participant, this could be in the form of</w:t>
      </w:r>
      <w:r w:rsidR="00C874D3" w:rsidRPr="00C874D3">
        <w:rPr>
          <w:rFonts w:cs="Arial"/>
        </w:rPr>
        <w:t xml:space="preserve"> one-to-one mentoring supp</w:t>
      </w:r>
      <w:r w:rsidR="003B3097">
        <w:rPr>
          <w:rFonts w:cs="Arial"/>
        </w:rPr>
        <w:t xml:space="preserve">ort, small-group work sessions, </w:t>
      </w:r>
      <w:r w:rsidR="00C874D3" w:rsidRPr="00C874D3">
        <w:rPr>
          <w:rFonts w:cs="Arial"/>
        </w:rPr>
        <w:t>visit</w:t>
      </w:r>
      <w:r w:rsidR="00C874D3">
        <w:rPr>
          <w:rFonts w:cs="Arial"/>
        </w:rPr>
        <w:t xml:space="preserve">ing </w:t>
      </w:r>
      <w:r w:rsidR="00C874D3" w:rsidRPr="00C874D3">
        <w:rPr>
          <w:rFonts w:cs="Arial"/>
        </w:rPr>
        <w:t>providers/organisations.</w:t>
      </w:r>
    </w:p>
    <w:p w:rsidR="00D20863" w:rsidRPr="00C874D3" w:rsidRDefault="00F80170" w:rsidP="00C874D3">
      <w:pPr>
        <w:pStyle w:val="ListParagraph"/>
        <w:numPr>
          <w:ilvl w:val="0"/>
          <w:numId w:val="35"/>
        </w:numPr>
        <w:autoSpaceDE w:val="0"/>
        <w:autoSpaceDN w:val="0"/>
        <w:adjustRightInd w:val="0"/>
        <w:spacing w:line="360" w:lineRule="auto"/>
        <w:jc w:val="both"/>
        <w:rPr>
          <w:rFonts w:cs="Arial"/>
        </w:rPr>
      </w:pPr>
      <w:r>
        <w:rPr>
          <w:rFonts w:cs="Arial"/>
        </w:rPr>
        <w:t>All</w:t>
      </w:r>
      <w:r w:rsidR="00D20863">
        <w:rPr>
          <w:rFonts w:cs="Arial"/>
        </w:rPr>
        <w:t xml:space="preserve"> participants </w:t>
      </w:r>
      <w:r>
        <w:rPr>
          <w:rFonts w:cs="Arial"/>
        </w:rPr>
        <w:t xml:space="preserve">to </w:t>
      </w:r>
      <w:r w:rsidRPr="00C874D3">
        <w:rPr>
          <w:rFonts w:cs="Arial"/>
        </w:rPr>
        <w:t xml:space="preserve">undertake </w:t>
      </w:r>
      <w:r w:rsidR="00D20863" w:rsidRPr="00C874D3">
        <w:rPr>
          <w:rFonts w:cs="Arial"/>
        </w:rPr>
        <w:t>a work-related experience</w:t>
      </w:r>
      <w:r w:rsidR="003E2090" w:rsidRPr="00C874D3">
        <w:rPr>
          <w:rFonts w:cs="Arial"/>
        </w:rPr>
        <w:t xml:space="preserve"> (as defined on page 6)</w:t>
      </w:r>
      <w:r w:rsidR="00E939AA" w:rsidRPr="00C874D3">
        <w:rPr>
          <w:rFonts w:cs="Arial"/>
        </w:rPr>
        <w:t xml:space="preserve"> linked to their vocational area of interest</w:t>
      </w:r>
      <w:r w:rsidRPr="00C874D3">
        <w:rPr>
          <w:rFonts w:cs="Arial"/>
        </w:rPr>
        <w:t xml:space="preserve"> </w:t>
      </w:r>
      <w:r w:rsidR="00E939AA" w:rsidRPr="00C874D3">
        <w:rPr>
          <w:rFonts w:cs="Arial"/>
        </w:rPr>
        <w:t>and help them make better informed post-16 progression plans.</w:t>
      </w:r>
    </w:p>
    <w:p w:rsidR="00E939AA" w:rsidRPr="00C874D3" w:rsidRDefault="00E939AA" w:rsidP="00C874D3">
      <w:pPr>
        <w:pStyle w:val="ListParagraph"/>
        <w:numPr>
          <w:ilvl w:val="0"/>
          <w:numId w:val="35"/>
        </w:numPr>
        <w:autoSpaceDE w:val="0"/>
        <w:autoSpaceDN w:val="0"/>
        <w:adjustRightInd w:val="0"/>
        <w:spacing w:line="360" w:lineRule="auto"/>
        <w:jc w:val="both"/>
        <w:rPr>
          <w:rFonts w:cs="Arial"/>
        </w:rPr>
      </w:pPr>
      <w:r w:rsidRPr="00C874D3">
        <w:rPr>
          <w:rFonts w:cs="Arial"/>
        </w:rPr>
        <w:t>Work with key school staff to understand the barriers for each young person and any historical information which may inform engagement activity</w:t>
      </w:r>
      <w:r w:rsidR="003B3097">
        <w:rPr>
          <w:rFonts w:cs="Arial"/>
        </w:rPr>
        <w:t>.</w:t>
      </w:r>
    </w:p>
    <w:p w:rsidR="00E939AA" w:rsidRPr="00C874D3" w:rsidRDefault="00E939AA" w:rsidP="00C874D3">
      <w:pPr>
        <w:pStyle w:val="ListParagraph"/>
        <w:numPr>
          <w:ilvl w:val="0"/>
          <w:numId w:val="35"/>
        </w:numPr>
        <w:autoSpaceDE w:val="0"/>
        <w:autoSpaceDN w:val="0"/>
        <w:adjustRightInd w:val="0"/>
        <w:spacing w:line="360" w:lineRule="auto"/>
        <w:jc w:val="both"/>
        <w:rPr>
          <w:rFonts w:cs="Arial"/>
        </w:rPr>
      </w:pPr>
      <w:r w:rsidRPr="00C874D3">
        <w:rPr>
          <w:rFonts w:cs="Arial"/>
        </w:rPr>
        <w:t>Keep parents/carers informed of their progress and engagement and help them to understand how they can support their child</w:t>
      </w:r>
      <w:r w:rsidR="00C874D3" w:rsidRPr="00C874D3">
        <w:rPr>
          <w:rFonts w:cs="Arial"/>
        </w:rPr>
        <w:t>.</w:t>
      </w:r>
    </w:p>
    <w:p w:rsidR="003D1CC3" w:rsidRDefault="003D1CC3" w:rsidP="00C874D3">
      <w:pPr>
        <w:autoSpaceDE w:val="0"/>
        <w:autoSpaceDN w:val="0"/>
        <w:adjustRightInd w:val="0"/>
        <w:spacing w:line="360" w:lineRule="auto"/>
        <w:jc w:val="both"/>
        <w:rPr>
          <w:rFonts w:cs="Arial"/>
        </w:rPr>
      </w:pPr>
    </w:p>
    <w:p w:rsidR="003D1CC3" w:rsidRDefault="003D1CC3" w:rsidP="00C874D3">
      <w:pPr>
        <w:autoSpaceDE w:val="0"/>
        <w:autoSpaceDN w:val="0"/>
        <w:adjustRightInd w:val="0"/>
        <w:spacing w:line="360" w:lineRule="auto"/>
        <w:jc w:val="both"/>
        <w:rPr>
          <w:rFonts w:cs="Arial"/>
        </w:rPr>
      </w:pPr>
      <w:r>
        <w:rPr>
          <w:rFonts w:cs="Arial"/>
        </w:rPr>
        <w:lastRenderedPageBreak/>
        <w:t>Development;</w:t>
      </w:r>
    </w:p>
    <w:p w:rsidR="003D1CC3" w:rsidRDefault="003E2090" w:rsidP="00C874D3">
      <w:pPr>
        <w:pStyle w:val="ListParagraph"/>
        <w:numPr>
          <w:ilvl w:val="0"/>
          <w:numId w:val="22"/>
        </w:numPr>
        <w:spacing w:after="200" w:line="360" w:lineRule="auto"/>
        <w:jc w:val="both"/>
        <w:rPr>
          <w:rFonts w:cs="Arial"/>
        </w:rPr>
      </w:pPr>
      <w:r>
        <w:rPr>
          <w:rFonts w:cs="Arial"/>
        </w:rPr>
        <w:t>All</w:t>
      </w:r>
      <w:r w:rsidR="00961218">
        <w:rPr>
          <w:rFonts w:cs="Arial"/>
        </w:rPr>
        <w:t xml:space="preserve"> </w:t>
      </w:r>
      <w:r w:rsidR="003D1CC3" w:rsidRPr="00501B8B">
        <w:rPr>
          <w:rFonts w:cs="Arial"/>
        </w:rPr>
        <w:t xml:space="preserve">participants </w:t>
      </w:r>
      <w:r w:rsidR="00961218">
        <w:rPr>
          <w:rFonts w:cs="Arial"/>
        </w:rPr>
        <w:t xml:space="preserve">able to </w:t>
      </w:r>
      <w:r w:rsidR="003D1CC3" w:rsidRPr="00501B8B">
        <w:rPr>
          <w:rFonts w:cs="Arial"/>
        </w:rPr>
        <w:t>demonstrate improved personal</w:t>
      </w:r>
      <w:r>
        <w:rPr>
          <w:rFonts w:cs="Arial"/>
        </w:rPr>
        <w:t>, social</w:t>
      </w:r>
      <w:r w:rsidR="003D1CC3" w:rsidRPr="00501B8B">
        <w:rPr>
          <w:rFonts w:cs="Arial"/>
        </w:rPr>
        <w:t xml:space="preserve"> and </w:t>
      </w:r>
      <w:r>
        <w:rPr>
          <w:rFonts w:cs="Arial"/>
        </w:rPr>
        <w:t>training-ready</w:t>
      </w:r>
      <w:r w:rsidR="003D1CC3" w:rsidRPr="00501B8B">
        <w:rPr>
          <w:rFonts w:cs="Arial"/>
        </w:rPr>
        <w:t xml:space="preserve"> skills</w:t>
      </w:r>
      <w:r w:rsidR="003D1CC3">
        <w:rPr>
          <w:rFonts w:cs="Arial"/>
        </w:rPr>
        <w:t>.</w:t>
      </w:r>
      <w:r w:rsidR="003D1CC3" w:rsidRPr="00501B8B">
        <w:rPr>
          <w:rStyle w:val="FootnoteReference"/>
          <w:rFonts w:cs="Arial"/>
        </w:rPr>
        <w:footnoteReference w:id="10"/>
      </w:r>
    </w:p>
    <w:p w:rsidR="003D436D" w:rsidRDefault="003D436D" w:rsidP="00C874D3">
      <w:pPr>
        <w:pStyle w:val="ListParagraph"/>
        <w:numPr>
          <w:ilvl w:val="0"/>
          <w:numId w:val="22"/>
        </w:numPr>
        <w:autoSpaceDE w:val="0"/>
        <w:autoSpaceDN w:val="0"/>
        <w:adjustRightInd w:val="0"/>
        <w:spacing w:line="360" w:lineRule="auto"/>
        <w:jc w:val="both"/>
        <w:rPr>
          <w:rFonts w:cs="Arial"/>
        </w:rPr>
      </w:pPr>
      <w:r>
        <w:rPr>
          <w:rFonts w:cs="Arial"/>
        </w:rPr>
        <w:t>All participants to achieve Level 1</w:t>
      </w:r>
      <w:r>
        <w:rPr>
          <w:rFonts w:cs="Arial"/>
          <w:color w:val="FF0000"/>
        </w:rPr>
        <w:t xml:space="preserve"> </w:t>
      </w:r>
      <w:r w:rsidRPr="00B945C9">
        <w:rPr>
          <w:rFonts w:cs="Arial"/>
        </w:rPr>
        <w:t xml:space="preserve">Functional Skills or </w:t>
      </w:r>
      <w:r>
        <w:rPr>
          <w:rFonts w:cs="Arial"/>
        </w:rPr>
        <w:t>equivalent accredited qualification by the end of the programme</w:t>
      </w:r>
      <w:r>
        <w:rPr>
          <w:rStyle w:val="FootnoteReference"/>
          <w:rFonts w:cs="Arial"/>
        </w:rPr>
        <w:footnoteReference w:id="11"/>
      </w:r>
      <w:r>
        <w:rPr>
          <w:rFonts w:cs="Arial"/>
        </w:rPr>
        <w:t xml:space="preserve">. </w:t>
      </w:r>
    </w:p>
    <w:p w:rsidR="003D436D" w:rsidRDefault="003D436D" w:rsidP="00C874D3">
      <w:pPr>
        <w:pStyle w:val="ListParagraph"/>
        <w:autoSpaceDE w:val="0"/>
        <w:autoSpaceDN w:val="0"/>
        <w:adjustRightInd w:val="0"/>
        <w:spacing w:line="360" w:lineRule="auto"/>
        <w:ind w:left="360"/>
        <w:jc w:val="both"/>
        <w:rPr>
          <w:rFonts w:cs="Arial"/>
        </w:rPr>
      </w:pPr>
    </w:p>
    <w:p w:rsidR="005B6524" w:rsidRDefault="005B6524" w:rsidP="00C874D3">
      <w:pPr>
        <w:pStyle w:val="ListParagraph"/>
        <w:autoSpaceDE w:val="0"/>
        <w:autoSpaceDN w:val="0"/>
        <w:adjustRightInd w:val="0"/>
        <w:spacing w:line="360" w:lineRule="auto"/>
        <w:ind w:left="360"/>
        <w:jc w:val="both"/>
        <w:rPr>
          <w:rFonts w:cs="Arial"/>
        </w:rPr>
      </w:pPr>
    </w:p>
    <w:p w:rsidR="005B6524" w:rsidRPr="003D436D" w:rsidRDefault="005B6524" w:rsidP="00C874D3">
      <w:pPr>
        <w:pStyle w:val="ListParagraph"/>
        <w:autoSpaceDE w:val="0"/>
        <w:autoSpaceDN w:val="0"/>
        <w:adjustRightInd w:val="0"/>
        <w:spacing w:line="360" w:lineRule="auto"/>
        <w:ind w:left="360"/>
        <w:jc w:val="both"/>
        <w:rPr>
          <w:rFonts w:cs="Arial"/>
        </w:rPr>
      </w:pPr>
    </w:p>
    <w:p w:rsidR="003D1CC3" w:rsidRPr="00501B8B" w:rsidRDefault="003D1CC3" w:rsidP="00C874D3">
      <w:pPr>
        <w:autoSpaceDE w:val="0"/>
        <w:autoSpaceDN w:val="0"/>
        <w:adjustRightInd w:val="0"/>
        <w:spacing w:line="360" w:lineRule="auto"/>
        <w:jc w:val="both"/>
        <w:rPr>
          <w:rFonts w:cs="Arial"/>
        </w:rPr>
      </w:pPr>
      <w:r>
        <w:rPr>
          <w:rFonts w:cs="Arial"/>
        </w:rPr>
        <w:t>Progression;</w:t>
      </w:r>
    </w:p>
    <w:p w:rsidR="002A5A36" w:rsidRPr="00501B8B" w:rsidRDefault="002A5A36" w:rsidP="00C874D3">
      <w:pPr>
        <w:pStyle w:val="ListParagraph"/>
        <w:numPr>
          <w:ilvl w:val="0"/>
          <w:numId w:val="22"/>
        </w:numPr>
        <w:spacing w:after="200" w:line="360" w:lineRule="auto"/>
        <w:jc w:val="both"/>
        <w:rPr>
          <w:rFonts w:cs="Arial"/>
        </w:rPr>
      </w:pPr>
      <w:r w:rsidRPr="00501B8B">
        <w:rPr>
          <w:rFonts w:cs="Arial"/>
        </w:rPr>
        <w:lastRenderedPageBreak/>
        <w:t xml:space="preserve">80% of participants </w:t>
      </w:r>
      <w:r w:rsidR="00961218">
        <w:rPr>
          <w:rFonts w:cs="Arial"/>
        </w:rPr>
        <w:t xml:space="preserve">to </w:t>
      </w:r>
      <w:r w:rsidRPr="00501B8B">
        <w:rPr>
          <w:rFonts w:cs="Arial"/>
        </w:rPr>
        <w:t>progress into a positive destination</w:t>
      </w:r>
      <w:r w:rsidRPr="00501B8B">
        <w:rPr>
          <w:rStyle w:val="FootnoteReference"/>
          <w:rFonts w:cs="Arial"/>
        </w:rPr>
        <w:footnoteReference w:id="12"/>
      </w:r>
      <w:r w:rsidR="00754659">
        <w:rPr>
          <w:rFonts w:cs="Arial"/>
        </w:rPr>
        <w:t xml:space="preserve"> for at least </w:t>
      </w:r>
      <w:r w:rsidR="00961218">
        <w:rPr>
          <w:rFonts w:cs="Arial"/>
        </w:rPr>
        <w:t>3</w:t>
      </w:r>
      <w:r w:rsidR="00754659">
        <w:rPr>
          <w:rFonts w:cs="Arial"/>
        </w:rPr>
        <w:t xml:space="preserve"> months</w:t>
      </w:r>
      <w:r w:rsidR="00961218">
        <w:rPr>
          <w:rFonts w:cs="Arial"/>
        </w:rPr>
        <w:t>, within 1 month of completing the programme</w:t>
      </w:r>
      <w:r w:rsidR="00754659">
        <w:rPr>
          <w:rFonts w:cs="Arial"/>
        </w:rPr>
        <w:t>.</w:t>
      </w:r>
    </w:p>
    <w:p w:rsidR="00BE75C5" w:rsidRDefault="00DA7676" w:rsidP="00BE75C5">
      <w:pPr>
        <w:spacing w:line="360" w:lineRule="auto"/>
        <w:rPr>
          <w:rFonts w:cs="Arial"/>
          <w:b/>
        </w:rPr>
      </w:pPr>
      <w:r>
        <w:rPr>
          <w:rFonts w:cs="Arial"/>
          <w:b/>
        </w:rPr>
        <w:t xml:space="preserve">6. </w:t>
      </w:r>
      <w:r>
        <w:rPr>
          <w:rFonts w:cs="Arial"/>
          <w:b/>
        </w:rPr>
        <w:tab/>
      </w:r>
      <w:r w:rsidR="00BE75C5">
        <w:rPr>
          <w:rFonts w:cs="Arial"/>
          <w:b/>
        </w:rPr>
        <w:t>Outcomes</w:t>
      </w:r>
    </w:p>
    <w:p w:rsidR="00250205" w:rsidRDefault="00250205" w:rsidP="00BE75C5">
      <w:pPr>
        <w:spacing w:line="360" w:lineRule="auto"/>
        <w:rPr>
          <w:rFonts w:cs="Arial"/>
          <w:b/>
        </w:rPr>
      </w:pPr>
    </w:p>
    <w:p w:rsidR="00BE75C5" w:rsidRPr="00501B8B" w:rsidRDefault="006E48E8" w:rsidP="00BE75C5">
      <w:pPr>
        <w:autoSpaceDE w:val="0"/>
        <w:autoSpaceDN w:val="0"/>
        <w:adjustRightInd w:val="0"/>
        <w:spacing w:line="360" w:lineRule="auto"/>
        <w:jc w:val="both"/>
        <w:rPr>
          <w:rFonts w:cs="Arial"/>
        </w:rPr>
      </w:pPr>
      <w:r>
        <w:rPr>
          <w:rFonts w:cs="Arial"/>
        </w:rPr>
        <w:t xml:space="preserve">Key </w:t>
      </w:r>
      <w:r w:rsidR="00483DBE">
        <w:rPr>
          <w:rFonts w:cs="Arial"/>
        </w:rPr>
        <w:t>performance indicators used to measure the</w:t>
      </w:r>
      <w:r>
        <w:rPr>
          <w:rFonts w:cs="Arial"/>
        </w:rPr>
        <w:t xml:space="preserve"> success for</w:t>
      </w:r>
      <w:r w:rsidR="00BE75C5" w:rsidRPr="00501B8B">
        <w:rPr>
          <w:rFonts w:cs="Arial"/>
        </w:rPr>
        <w:t xml:space="preserve"> the provision are to;</w:t>
      </w:r>
    </w:p>
    <w:p w:rsidR="00BE75C5" w:rsidRPr="00501B8B" w:rsidRDefault="00BE75C5" w:rsidP="00BE75C5">
      <w:pPr>
        <w:autoSpaceDE w:val="0"/>
        <w:autoSpaceDN w:val="0"/>
        <w:adjustRightInd w:val="0"/>
        <w:spacing w:line="360" w:lineRule="auto"/>
        <w:jc w:val="both"/>
        <w:rPr>
          <w:rFonts w:cs="Arial"/>
        </w:rPr>
      </w:pPr>
    </w:p>
    <w:p w:rsidR="00816501" w:rsidRDefault="00816501" w:rsidP="00816501">
      <w:pPr>
        <w:pStyle w:val="ListParagraph"/>
        <w:numPr>
          <w:ilvl w:val="1"/>
          <w:numId w:val="6"/>
        </w:numPr>
        <w:autoSpaceDE w:val="0"/>
        <w:autoSpaceDN w:val="0"/>
        <w:adjustRightInd w:val="0"/>
        <w:spacing w:line="360" w:lineRule="auto"/>
        <w:ind w:left="284" w:hanging="284"/>
        <w:jc w:val="both"/>
        <w:rPr>
          <w:rFonts w:cs="Arial"/>
        </w:rPr>
      </w:pPr>
      <w:r w:rsidRPr="00501B8B">
        <w:rPr>
          <w:rFonts w:cs="Arial"/>
        </w:rPr>
        <w:t>Prevent</w:t>
      </w:r>
      <w:r>
        <w:rPr>
          <w:rFonts w:cs="Arial"/>
        </w:rPr>
        <w:t>ion of, and reduction in</w:t>
      </w:r>
      <w:r w:rsidRPr="00501B8B">
        <w:rPr>
          <w:rFonts w:cs="Arial"/>
        </w:rPr>
        <w:t xml:space="preserve"> </w:t>
      </w:r>
      <w:r>
        <w:rPr>
          <w:rFonts w:cs="Arial"/>
        </w:rPr>
        <w:t>the number of young people currently in KS4, identified as being ‘at risk’ of NEET.</w:t>
      </w:r>
    </w:p>
    <w:p w:rsidR="00816501" w:rsidRDefault="00816501" w:rsidP="00816501">
      <w:pPr>
        <w:pStyle w:val="ListParagraph"/>
        <w:numPr>
          <w:ilvl w:val="1"/>
          <w:numId w:val="6"/>
        </w:numPr>
        <w:autoSpaceDE w:val="0"/>
        <w:autoSpaceDN w:val="0"/>
        <w:adjustRightInd w:val="0"/>
        <w:spacing w:line="360" w:lineRule="auto"/>
        <w:ind w:left="284" w:hanging="284"/>
        <w:jc w:val="both"/>
        <w:rPr>
          <w:rFonts w:cs="Arial"/>
        </w:rPr>
      </w:pPr>
      <w:r>
        <w:rPr>
          <w:rFonts w:cs="Arial"/>
        </w:rPr>
        <w:t>To ensure participants receive appropriate and timely screening tests and referrals to support servi</w:t>
      </w:r>
      <w:r w:rsidR="005B6524">
        <w:rPr>
          <w:rFonts w:cs="Arial"/>
        </w:rPr>
        <w:t>c</w:t>
      </w:r>
      <w:r>
        <w:rPr>
          <w:rFonts w:cs="Arial"/>
        </w:rPr>
        <w:t>es, to eliminate un</w:t>
      </w:r>
      <w:r w:rsidR="005B6524">
        <w:rPr>
          <w:rFonts w:cs="Arial"/>
        </w:rPr>
        <w:t xml:space="preserve">derlying contributory factors of </w:t>
      </w:r>
      <w:r>
        <w:rPr>
          <w:rFonts w:cs="Arial"/>
        </w:rPr>
        <w:t xml:space="preserve">becoming ‘at risk’ of NEET. </w:t>
      </w:r>
    </w:p>
    <w:p w:rsidR="00816501" w:rsidRPr="00012854" w:rsidRDefault="00816501" w:rsidP="00816501">
      <w:pPr>
        <w:pStyle w:val="ListParagraph"/>
        <w:numPr>
          <w:ilvl w:val="1"/>
          <w:numId w:val="6"/>
        </w:numPr>
        <w:autoSpaceDE w:val="0"/>
        <w:autoSpaceDN w:val="0"/>
        <w:adjustRightInd w:val="0"/>
        <w:spacing w:line="360" w:lineRule="auto"/>
        <w:ind w:left="284" w:hanging="284"/>
        <w:jc w:val="both"/>
        <w:rPr>
          <w:rFonts w:cs="Arial"/>
        </w:rPr>
      </w:pPr>
      <w:r>
        <w:rPr>
          <w:rFonts w:cs="Arial"/>
        </w:rPr>
        <w:t xml:space="preserve">To share findings of the research and consultation, </w:t>
      </w:r>
      <w:r w:rsidRPr="00012854">
        <w:rPr>
          <w:rFonts w:cs="Arial"/>
        </w:rPr>
        <w:t xml:space="preserve">to gain understanding of common themes </w:t>
      </w:r>
      <w:r>
        <w:rPr>
          <w:rFonts w:cs="Arial"/>
        </w:rPr>
        <w:t xml:space="preserve">pertaining to NEET </w:t>
      </w:r>
      <w:r w:rsidRPr="00012854">
        <w:rPr>
          <w:rFonts w:cs="Arial"/>
        </w:rPr>
        <w:t xml:space="preserve">and </w:t>
      </w:r>
      <w:r>
        <w:rPr>
          <w:rFonts w:cs="Arial"/>
        </w:rPr>
        <w:t xml:space="preserve">to </w:t>
      </w:r>
      <w:r w:rsidRPr="00012854">
        <w:rPr>
          <w:rFonts w:cs="Arial"/>
        </w:rPr>
        <w:t>identify young people’s preferred solutions to re-engage them into EET.</w:t>
      </w:r>
    </w:p>
    <w:p w:rsidR="00B97BFE" w:rsidRPr="00501B8B" w:rsidRDefault="00B97BFE" w:rsidP="00B97BFE">
      <w:pPr>
        <w:pStyle w:val="ListParagraph"/>
        <w:numPr>
          <w:ilvl w:val="1"/>
          <w:numId w:val="6"/>
        </w:numPr>
        <w:autoSpaceDE w:val="0"/>
        <w:autoSpaceDN w:val="0"/>
        <w:adjustRightInd w:val="0"/>
        <w:spacing w:line="360" w:lineRule="auto"/>
        <w:ind w:left="284" w:hanging="284"/>
        <w:jc w:val="both"/>
        <w:rPr>
          <w:rFonts w:cs="Arial"/>
        </w:rPr>
      </w:pPr>
      <w:r>
        <w:rPr>
          <w:rFonts w:cs="Arial"/>
        </w:rPr>
        <w:t>Reduce</w:t>
      </w:r>
      <w:r w:rsidRPr="00501B8B">
        <w:rPr>
          <w:rFonts w:cs="Arial"/>
        </w:rPr>
        <w:t xml:space="preserve"> the proportion of young people </w:t>
      </w:r>
      <w:r>
        <w:rPr>
          <w:rFonts w:cs="Arial"/>
        </w:rPr>
        <w:t>in LH</w:t>
      </w:r>
      <w:r w:rsidRPr="00501B8B">
        <w:rPr>
          <w:rFonts w:cs="Arial"/>
        </w:rPr>
        <w:t>, age</w:t>
      </w:r>
      <w:r>
        <w:rPr>
          <w:rFonts w:cs="Arial"/>
        </w:rPr>
        <w:t>s 16-25</w:t>
      </w:r>
      <w:r w:rsidRPr="00501B8B">
        <w:rPr>
          <w:rFonts w:cs="Arial"/>
        </w:rPr>
        <w:t xml:space="preserve"> who are NEET.</w:t>
      </w:r>
    </w:p>
    <w:p w:rsidR="00012854" w:rsidRPr="00154ED6" w:rsidRDefault="00B97BFE" w:rsidP="00012854">
      <w:pPr>
        <w:pStyle w:val="ListParagraph"/>
        <w:numPr>
          <w:ilvl w:val="1"/>
          <w:numId w:val="6"/>
        </w:numPr>
        <w:autoSpaceDE w:val="0"/>
        <w:autoSpaceDN w:val="0"/>
        <w:adjustRightInd w:val="0"/>
        <w:spacing w:line="360" w:lineRule="auto"/>
        <w:ind w:left="284" w:hanging="284"/>
        <w:jc w:val="both"/>
        <w:rPr>
          <w:rFonts w:cs="Arial"/>
        </w:rPr>
      </w:pPr>
      <w:r w:rsidRPr="00154ED6">
        <w:rPr>
          <w:rFonts w:cs="Arial"/>
        </w:rPr>
        <w:lastRenderedPageBreak/>
        <w:t>All participants to achieve Level 1 Functional Skills or equivalent accredited qualification by the end of the programme</w:t>
      </w:r>
      <w:r w:rsidR="00154ED6">
        <w:rPr>
          <w:rFonts w:cs="Arial"/>
        </w:rPr>
        <w:t xml:space="preserve">, </w:t>
      </w:r>
      <w:r w:rsidR="00154ED6" w:rsidRPr="00543C27">
        <w:rPr>
          <w:rFonts w:cs="Arial"/>
        </w:rPr>
        <w:t>where required</w:t>
      </w:r>
      <w:r w:rsidRPr="00543C27">
        <w:rPr>
          <w:rStyle w:val="FootnoteReference"/>
          <w:rFonts w:cs="Arial"/>
        </w:rPr>
        <w:footnoteReference w:id="13"/>
      </w:r>
      <w:r w:rsidRPr="00543C27">
        <w:rPr>
          <w:rFonts w:cs="Arial"/>
        </w:rPr>
        <w:t>.</w:t>
      </w:r>
      <w:r w:rsidRPr="00154ED6">
        <w:rPr>
          <w:rFonts w:cs="Arial"/>
        </w:rPr>
        <w:t xml:space="preserve"> </w:t>
      </w:r>
    </w:p>
    <w:p w:rsidR="00BE75C5" w:rsidRPr="00501B8B" w:rsidRDefault="00BE75C5" w:rsidP="00BE75C5">
      <w:pPr>
        <w:pStyle w:val="ListParagraph"/>
        <w:numPr>
          <w:ilvl w:val="1"/>
          <w:numId w:val="6"/>
        </w:numPr>
        <w:autoSpaceDE w:val="0"/>
        <w:autoSpaceDN w:val="0"/>
        <w:adjustRightInd w:val="0"/>
        <w:spacing w:line="360" w:lineRule="auto"/>
        <w:ind w:left="284" w:hanging="284"/>
        <w:jc w:val="both"/>
        <w:rPr>
          <w:rFonts w:cs="Arial"/>
        </w:rPr>
      </w:pPr>
      <w:r w:rsidRPr="00501B8B">
        <w:rPr>
          <w:rFonts w:cs="Arial"/>
        </w:rPr>
        <w:t xml:space="preserve">Increase the proportion of young people </w:t>
      </w:r>
      <w:r w:rsidR="006E48E8">
        <w:rPr>
          <w:rFonts w:cs="Arial"/>
        </w:rPr>
        <w:t xml:space="preserve">in LH, </w:t>
      </w:r>
      <w:r w:rsidRPr="00501B8B">
        <w:rPr>
          <w:rFonts w:cs="Arial"/>
        </w:rPr>
        <w:t>age</w:t>
      </w:r>
      <w:r w:rsidR="006E48E8">
        <w:rPr>
          <w:rFonts w:cs="Arial"/>
        </w:rPr>
        <w:t>s</w:t>
      </w:r>
      <w:r w:rsidRPr="00501B8B">
        <w:rPr>
          <w:rFonts w:cs="Arial"/>
        </w:rPr>
        <w:t xml:space="preserve"> 16-</w:t>
      </w:r>
      <w:r w:rsidR="00B97BFE">
        <w:rPr>
          <w:rFonts w:cs="Arial"/>
        </w:rPr>
        <w:t>25</w:t>
      </w:r>
      <w:r w:rsidR="006E48E8">
        <w:rPr>
          <w:rFonts w:cs="Arial"/>
        </w:rPr>
        <w:t>,</w:t>
      </w:r>
      <w:r w:rsidRPr="00501B8B">
        <w:rPr>
          <w:rFonts w:cs="Arial"/>
        </w:rPr>
        <w:t xml:space="preserve"> participating in</w:t>
      </w:r>
      <w:r w:rsidR="00B97BFE">
        <w:rPr>
          <w:rFonts w:cs="Arial"/>
        </w:rPr>
        <w:t xml:space="preserve"> accredited training</w:t>
      </w:r>
      <w:r w:rsidRPr="00501B8B">
        <w:rPr>
          <w:rFonts w:cs="Arial"/>
        </w:rPr>
        <w:t>.</w:t>
      </w:r>
    </w:p>
    <w:p w:rsidR="00B945C9" w:rsidRDefault="00B945C9" w:rsidP="00B945C9">
      <w:pPr>
        <w:pStyle w:val="ListParagraph"/>
        <w:autoSpaceDE w:val="0"/>
        <w:autoSpaceDN w:val="0"/>
        <w:adjustRightInd w:val="0"/>
        <w:spacing w:line="360" w:lineRule="auto"/>
        <w:ind w:left="284"/>
        <w:jc w:val="both"/>
        <w:rPr>
          <w:rFonts w:cs="Arial"/>
        </w:rPr>
      </w:pPr>
    </w:p>
    <w:p w:rsidR="005B6524" w:rsidRDefault="005B6524" w:rsidP="00B945C9">
      <w:pPr>
        <w:pStyle w:val="ListParagraph"/>
        <w:autoSpaceDE w:val="0"/>
        <w:autoSpaceDN w:val="0"/>
        <w:adjustRightInd w:val="0"/>
        <w:spacing w:line="360" w:lineRule="auto"/>
        <w:ind w:left="284"/>
        <w:jc w:val="both"/>
        <w:rPr>
          <w:rFonts w:cs="Arial"/>
        </w:rPr>
      </w:pPr>
    </w:p>
    <w:p w:rsidR="005B6524" w:rsidRDefault="005B6524" w:rsidP="00B945C9">
      <w:pPr>
        <w:pStyle w:val="ListParagraph"/>
        <w:autoSpaceDE w:val="0"/>
        <w:autoSpaceDN w:val="0"/>
        <w:adjustRightInd w:val="0"/>
        <w:spacing w:line="360" w:lineRule="auto"/>
        <w:ind w:left="284"/>
        <w:jc w:val="both"/>
        <w:rPr>
          <w:rFonts w:cs="Arial"/>
        </w:rPr>
      </w:pPr>
    </w:p>
    <w:p w:rsidR="00B945C9" w:rsidRDefault="00B945C9" w:rsidP="00B945C9">
      <w:pPr>
        <w:pStyle w:val="ListParagraph"/>
        <w:autoSpaceDE w:val="0"/>
        <w:autoSpaceDN w:val="0"/>
        <w:adjustRightInd w:val="0"/>
        <w:spacing w:line="360" w:lineRule="auto"/>
        <w:ind w:left="284"/>
        <w:jc w:val="both"/>
        <w:rPr>
          <w:rFonts w:cs="Arial"/>
        </w:rPr>
      </w:pPr>
      <w:r w:rsidRPr="00B945C9">
        <w:rPr>
          <w:rFonts w:cs="Arial"/>
        </w:rPr>
        <w:t>Subject to the extension of the pilot,</w:t>
      </w:r>
      <w:r w:rsidR="005B6524">
        <w:rPr>
          <w:rFonts w:cs="Arial"/>
        </w:rPr>
        <w:t xml:space="preserve"> long-term outcomes will</w:t>
      </w:r>
      <w:r w:rsidRPr="00B945C9">
        <w:rPr>
          <w:rFonts w:cs="Arial"/>
        </w:rPr>
        <w:t xml:space="preserve"> include;</w:t>
      </w:r>
    </w:p>
    <w:p w:rsidR="00B945C9" w:rsidRPr="00B945C9" w:rsidRDefault="00B945C9" w:rsidP="00B945C9">
      <w:pPr>
        <w:pStyle w:val="ListParagraph"/>
        <w:autoSpaceDE w:val="0"/>
        <w:autoSpaceDN w:val="0"/>
        <w:adjustRightInd w:val="0"/>
        <w:spacing w:line="360" w:lineRule="auto"/>
        <w:ind w:left="284"/>
        <w:jc w:val="both"/>
        <w:rPr>
          <w:rFonts w:cs="Arial"/>
        </w:rPr>
      </w:pPr>
    </w:p>
    <w:p w:rsidR="008F4E8E" w:rsidRDefault="008F4E8E" w:rsidP="00B97BFE">
      <w:pPr>
        <w:pStyle w:val="ListParagraph"/>
        <w:numPr>
          <w:ilvl w:val="1"/>
          <w:numId w:val="6"/>
        </w:numPr>
        <w:autoSpaceDE w:val="0"/>
        <w:autoSpaceDN w:val="0"/>
        <w:adjustRightInd w:val="0"/>
        <w:spacing w:line="360" w:lineRule="auto"/>
        <w:ind w:left="284" w:hanging="284"/>
        <w:jc w:val="both"/>
        <w:rPr>
          <w:rFonts w:cs="Arial"/>
        </w:rPr>
      </w:pPr>
      <w:r>
        <w:t xml:space="preserve">The provider to work with local voluntary organisations and businesses, to offer opportunities around developing an </w:t>
      </w:r>
      <w:r>
        <w:lastRenderedPageBreak/>
        <w:t>ongoing trainee-mentoring provision with an employer, for NEET young people who have completed, or near completion of the programme.</w:t>
      </w:r>
    </w:p>
    <w:p w:rsidR="00B97BFE" w:rsidRPr="00501B8B" w:rsidRDefault="00B97BFE" w:rsidP="00B97BFE">
      <w:pPr>
        <w:pStyle w:val="ListParagraph"/>
        <w:numPr>
          <w:ilvl w:val="1"/>
          <w:numId w:val="6"/>
        </w:numPr>
        <w:autoSpaceDE w:val="0"/>
        <w:autoSpaceDN w:val="0"/>
        <w:adjustRightInd w:val="0"/>
        <w:spacing w:line="360" w:lineRule="auto"/>
        <w:ind w:left="284" w:hanging="284"/>
        <w:jc w:val="both"/>
        <w:rPr>
          <w:rFonts w:cs="Arial"/>
        </w:rPr>
      </w:pPr>
      <w:r w:rsidRPr="00501B8B">
        <w:rPr>
          <w:rFonts w:cs="Arial"/>
        </w:rPr>
        <w:t>Increase the number of young people</w:t>
      </w:r>
      <w:r>
        <w:rPr>
          <w:rFonts w:cs="Arial"/>
        </w:rPr>
        <w:t xml:space="preserve"> in LH</w:t>
      </w:r>
      <w:r w:rsidRPr="00501B8B">
        <w:rPr>
          <w:rFonts w:cs="Arial"/>
        </w:rPr>
        <w:t xml:space="preserve"> age</w:t>
      </w:r>
      <w:r>
        <w:rPr>
          <w:rFonts w:cs="Arial"/>
        </w:rPr>
        <w:t>s 16-25 accessing traineeships and progressing into further education</w:t>
      </w:r>
      <w:r w:rsidR="003F1B34">
        <w:rPr>
          <w:rFonts w:cs="Arial"/>
        </w:rPr>
        <w:t xml:space="preserve"> and training</w:t>
      </w:r>
      <w:r w:rsidRPr="00501B8B">
        <w:rPr>
          <w:rFonts w:cs="Arial"/>
        </w:rPr>
        <w:t>.</w:t>
      </w:r>
    </w:p>
    <w:p w:rsidR="00C874D3" w:rsidRPr="00FE44C9" w:rsidRDefault="006E48E8" w:rsidP="00FE44C9">
      <w:pPr>
        <w:pStyle w:val="ListParagraph"/>
        <w:numPr>
          <w:ilvl w:val="1"/>
          <w:numId w:val="6"/>
        </w:numPr>
        <w:autoSpaceDE w:val="0"/>
        <w:autoSpaceDN w:val="0"/>
        <w:adjustRightInd w:val="0"/>
        <w:spacing w:line="360" w:lineRule="auto"/>
        <w:ind w:left="284" w:hanging="284"/>
        <w:jc w:val="both"/>
        <w:rPr>
          <w:rFonts w:cs="Arial"/>
        </w:rPr>
      </w:pPr>
      <w:r>
        <w:rPr>
          <w:rFonts w:cs="Arial"/>
        </w:rPr>
        <w:t>R</w:t>
      </w:r>
      <w:r w:rsidR="003F1B34">
        <w:rPr>
          <w:rFonts w:cs="Arial"/>
        </w:rPr>
        <w:t>educe</w:t>
      </w:r>
      <w:r>
        <w:rPr>
          <w:rFonts w:cs="Arial"/>
        </w:rPr>
        <w:t xml:space="preserve"> the number of 18</w:t>
      </w:r>
      <w:r w:rsidR="00B945C9">
        <w:rPr>
          <w:rFonts w:cs="Arial"/>
        </w:rPr>
        <w:t>-25</w:t>
      </w:r>
      <w:r w:rsidRPr="00501B8B">
        <w:rPr>
          <w:rFonts w:cs="Arial"/>
        </w:rPr>
        <w:t xml:space="preserve"> year olds who are out of work and in receipt of benefits (including claiming Universal Credit u</w:t>
      </w:r>
      <w:r>
        <w:rPr>
          <w:rFonts w:cs="Arial"/>
        </w:rPr>
        <w:t>nemployed component), in LH</w:t>
      </w:r>
      <w:r w:rsidRPr="00501B8B">
        <w:rPr>
          <w:rFonts w:cs="Arial"/>
        </w:rPr>
        <w:t>.</w:t>
      </w:r>
    </w:p>
    <w:p w:rsidR="002A5BE1" w:rsidRPr="00250205" w:rsidRDefault="002A5BE1" w:rsidP="002A5BE1">
      <w:pPr>
        <w:pStyle w:val="ListParagraph"/>
        <w:autoSpaceDE w:val="0"/>
        <w:autoSpaceDN w:val="0"/>
        <w:adjustRightInd w:val="0"/>
        <w:spacing w:line="360" w:lineRule="auto"/>
        <w:ind w:left="284"/>
        <w:jc w:val="both"/>
        <w:rPr>
          <w:rFonts w:cs="Arial"/>
        </w:rPr>
      </w:pPr>
    </w:p>
    <w:p w:rsidR="00954C41" w:rsidRPr="007D3B75" w:rsidRDefault="007D3B75" w:rsidP="002C6678">
      <w:pPr>
        <w:spacing w:line="360" w:lineRule="auto"/>
        <w:jc w:val="both"/>
        <w:rPr>
          <w:rFonts w:cs="Arial"/>
          <w:b/>
        </w:rPr>
      </w:pPr>
      <w:r w:rsidRPr="007D3B75">
        <w:rPr>
          <w:rFonts w:cs="Arial"/>
          <w:b/>
        </w:rPr>
        <w:t xml:space="preserve">7. </w:t>
      </w:r>
      <w:r>
        <w:rPr>
          <w:rFonts w:cs="Arial"/>
          <w:b/>
        </w:rPr>
        <w:tab/>
      </w:r>
      <w:r w:rsidR="00DA7676" w:rsidRPr="007D3B75">
        <w:rPr>
          <w:rFonts w:cs="Arial"/>
          <w:b/>
        </w:rPr>
        <w:t>Contract Value and Duration</w:t>
      </w:r>
    </w:p>
    <w:p w:rsidR="00DA7676" w:rsidRDefault="00DA7676" w:rsidP="002C6678">
      <w:pPr>
        <w:spacing w:line="360" w:lineRule="auto"/>
        <w:jc w:val="both"/>
        <w:rPr>
          <w:rFonts w:cs="Arial"/>
          <w:b/>
          <w:color w:val="7030A0"/>
        </w:rPr>
      </w:pPr>
    </w:p>
    <w:p w:rsidR="0027557D" w:rsidRPr="00D36EFC" w:rsidRDefault="00D36EFC" w:rsidP="00D36EFC">
      <w:pPr>
        <w:spacing w:line="360" w:lineRule="auto"/>
        <w:jc w:val="both"/>
        <w:rPr>
          <w:rFonts w:cs="Arial"/>
        </w:rPr>
      </w:pPr>
      <w:r w:rsidRPr="00D36EFC">
        <w:rPr>
          <w:rFonts w:cs="Arial"/>
        </w:rPr>
        <w:t xml:space="preserve">The provision is seeking </w:t>
      </w:r>
      <w:r>
        <w:rPr>
          <w:rFonts w:cs="Arial"/>
        </w:rPr>
        <w:t xml:space="preserve">a total of £30,000 from the LHBL Employment, Training and Wellbeing Grant. </w:t>
      </w:r>
      <w:r w:rsidRPr="00D36EFC">
        <w:rPr>
          <w:rFonts w:cs="Arial"/>
        </w:rPr>
        <w:t>This a</w:t>
      </w:r>
      <w:r w:rsidR="0027557D" w:rsidRPr="00D36EFC">
        <w:rPr>
          <w:rFonts w:cs="Arial"/>
        </w:rPr>
        <w:t xml:space="preserve">mount </w:t>
      </w:r>
      <w:r w:rsidRPr="00D36EFC">
        <w:rPr>
          <w:rFonts w:cs="Arial"/>
        </w:rPr>
        <w:t xml:space="preserve">is inclusive of each participant having a maximum allocation of </w:t>
      </w:r>
      <w:r w:rsidRPr="00D36EFC">
        <w:rPr>
          <w:rFonts w:cs="Arial"/>
        </w:rPr>
        <w:lastRenderedPageBreak/>
        <w:t>up to £150 as a</w:t>
      </w:r>
      <w:r w:rsidR="0027557D" w:rsidRPr="00D36EFC">
        <w:rPr>
          <w:rFonts w:cs="Arial"/>
        </w:rPr>
        <w:t xml:space="preserve"> personal budget</w:t>
      </w:r>
      <w:r w:rsidRPr="00D36EFC">
        <w:rPr>
          <w:rFonts w:cs="Arial"/>
        </w:rPr>
        <w:t>, totalling £3,600.</w:t>
      </w:r>
      <w:r w:rsidR="00125FEA">
        <w:rPr>
          <w:rFonts w:cs="Arial"/>
        </w:rPr>
        <w:t xml:space="preserve"> The total cost is </w:t>
      </w:r>
      <w:r w:rsidR="00125FEA" w:rsidRPr="00424788">
        <w:rPr>
          <w:rFonts w:cs="Arial"/>
          <w:b/>
        </w:rPr>
        <w:t>inclusive of VAT</w:t>
      </w:r>
      <w:r w:rsidR="00125FEA">
        <w:rPr>
          <w:rFonts w:cs="Arial"/>
        </w:rPr>
        <w:t>.</w:t>
      </w:r>
    </w:p>
    <w:p w:rsidR="00D36EFC" w:rsidRPr="00D36EFC" w:rsidRDefault="00D36EFC" w:rsidP="00D4032D">
      <w:pPr>
        <w:spacing w:line="276" w:lineRule="auto"/>
        <w:jc w:val="both"/>
        <w:rPr>
          <w:rFonts w:cs="Arial"/>
        </w:rPr>
      </w:pPr>
    </w:p>
    <w:p w:rsidR="00D36EFC" w:rsidRDefault="00D36EFC" w:rsidP="00D4032D">
      <w:pPr>
        <w:spacing w:line="360" w:lineRule="auto"/>
        <w:jc w:val="both"/>
        <w:rPr>
          <w:rFonts w:cs="Arial"/>
        </w:rPr>
      </w:pPr>
      <w:r w:rsidRPr="00D36EFC">
        <w:rPr>
          <w:rFonts w:cs="Arial"/>
        </w:rPr>
        <w:t>The contract will run over a 12 month duration</w:t>
      </w:r>
      <w:r w:rsidR="003E1410">
        <w:rPr>
          <w:rFonts w:cs="Arial"/>
        </w:rPr>
        <w:t xml:space="preserve"> over the 2018/19 year</w:t>
      </w:r>
      <w:r w:rsidRPr="00D36EFC">
        <w:rPr>
          <w:rFonts w:cs="Arial"/>
        </w:rPr>
        <w:t xml:space="preserve">, as a pilot, commencing on receipt of initial funding. </w:t>
      </w:r>
    </w:p>
    <w:p w:rsidR="003F1B34" w:rsidRDefault="003F1B34" w:rsidP="00D4032D">
      <w:pPr>
        <w:spacing w:line="360" w:lineRule="auto"/>
        <w:jc w:val="both"/>
        <w:rPr>
          <w:rFonts w:cs="Arial"/>
        </w:rPr>
      </w:pPr>
    </w:p>
    <w:p w:rsidR="00D4032D" w:rsidRDefault="003E1410" w:rsidP="00D4032D">
      <w:pPr>
        <w:spacing w:line="360" w:lineRule="auto"/>
        <w:jc w:val="both"/>
        <w:rPr>
          <w:rFonts w:ascii="Calibri" w:hAnsi="Calibri"/>
          <w:sz w:val="22"/>
          <w:szCs w:val="22"/>
        </w:rPr>
      </w:pPr>
      <w:r>
        <w:rPr>
          <w:rFonts w:cs="Arial"/>
        </w:rPr>
        <w:t>Progress and performance monitoring reports will be submitted to the LHBL</w:t>
      </w:r>
      <w:r w:rsidR="00D36EFC">
        <w:rPr>
          <w:rFonts w:cs="Arial"/>
        </w:rPr>
        <w:t xml:space="preserve"> </w:t>
      </w:r>
      <w:r>
        <w:rPr>
          <w:rFonts w:cs="Arial"/>
        </w:rPr>
        <w:t>at regular stages throughout the programme</w:t>
      </w:r>
      <w:r w:rsidR="00D36EFC">
        <w:rPr>
          <w:rFonts w:cs="Arial"/>
        </w:rPr>
        <w:t xml:space="preserve">. </w:t>
      </w:r>
      <w:r w:rsidR="00691DBE">
        <w:rPr>
          <w:rFonts w:cs="Arial"/>
        </w:rPr>
        <w:t xml:space="preserve">Initially, monthly reports for the first quarter, then quarterly monitoring reports and a full service review at 6 months to inform future planning. </w:t>
      </w:r>
      <w:r w:rsidR="00271B0F">
        <w:rPr>
          <w:rFonts w:cs="Arial"/>
        </w:rPr>
        <w:t xml:space="preserve">Monitoring reports may be shared with school(s) and other appropriate providers. </w:t>
      </w:r>
      <w:r w:rsidR="00D4032D">
        <w:rPr>
          <w:rFonts w:cs="Arial"/>
        </w:rPr>
        <w:t xml:space="preserve">The provider is expected to fully evaluate the service provision </w:t>
      </w:r>
      <w:r w:rsidR="00D36EFC">
        <w:rPr>
          <w:rFonts w:cs="Arial"/>
        </w:rPr>
        <w:t xml:space="preserve">and </w:t>
      </w:r>
      <w:r w:rsidR="00D4032D">
        <w:rPr>
          <w:rFonts w:cs="Arial"/>
        </w:rPr>
        <w:t xml:space="preserve">success measure for intended </w:t>
      </w:r>
      <w:r w:rsidR="00D36EFC">
        <w:rPr>
          <w:rFonts w:cs="Arial"/>
        </w:rPr>
        <w:t xml:space="preserve">outcomes, </w:t>
      </w:r>
      <w:r w:rsidR="00D4032D">
        <w:rPr>
          <w:rFonts w:cs="Arial"/>
        </w:rPr>
        <w:t xml:space="preserve">in order to scope the </w:t>
      </w:r>
      <w:r w:rsidR="00D4032D">
        <w:rPr>
          <w:rFonts w:cs="Arial"/>
        </w:rPr>
        <w:lastRenderedPageBreak/>
        <w:t xml:space="preserve">potential for </w:t>
      </w:r>
      <w:r w:rsidR="00D36EFC">
        <w:rPr>
          <w:rFonts w:cs="Arial"/>
        </w:rPr>
        <w:t xml:space="preserve">funding </w:t>
      </w:r>
      <w:r w:rsidR="00D4032D">
        <w:rPr>
          <w:rFonts w:cs="Arial"/>
        </w:rPr>
        <w:t>which may be</w:t>
      </w:r>
      <w:r w:rsidR="00D36EFC">
        <w:rPr>
          <w:rFonts w:cs="Arial"/>
        </w:rPr>
        <w:t xml:space="preserve"> sought to extend the provision</w:t>
      </w:r>
      <w:r>
        <w:rPr>
          <w:rFonts w:cs="Arial"/>
        </w:rPr>
        <w:t xml:space="preserve"> for </w:t>
      </w:r>
      <w:r w:rsidR="00D4032D">
        <w:rPr>
          <w:rFonts w:cs="Arial"/>
        </w:rPr>
        <w:t xml:space="preserve">a </w:t>
      </w:r>
      <w:r>
        <w:rPr>
          <w:rFonts w:cs="Arial"/>
        </w:rPr>
        <w:t xml:space="preserve">subsequent </w:t>
      </w:r>
      <w:r w:rsidR="00D4032D">
        <w:rPr>
          <w:rFonts w:cs="Arial"/>
        </w:rPr>
        <w:t>12-month period,</w:t>
      </w:r>
      <w:r>
        <w:rPr>
          <w:rFonts w:cs="Arial"/>
        </w:rPr>
        <w:t xml:space="preserve"> 2019/20</w:t>
      </w:r>
      <w:r w:rsidR="00D36EFC">
        <w:rPr>
          <w:rFonts w:cs="Arial"/>
        </w:rPr>
        <w:t xml:space="preserve">. </w:t>
      </w:r>
      <w:r w:rsidR="00615141">
        <w:rPr>
          <w:rFonts w:cs="Arial"/>
        </w:rPr>
        <w:t>Subject to the success of the provision, the provider will therefore be expected to work with the LHBL, to seek additional funding for extension of the provision.</w:t>
      </w:r>
      <w:r w:rsidR="00C34F7F">
        <w:rPr>
          <w:rFonts w:cs="Arial"/>
        </w:rPr>
        <w:t xml:space="preserve"> </w:t>
      </w:r>
    </w:p>
    <w:p w:rsidR="00FE44C9" w:rsidRDefault="00FE44C9" w:rsidP="00D4032D">
      <w:pPr>
        <w:spacing w:line="276" w:lineRule="auto"/>
        <w:jc w:val="both"/>
        <w:rPr>
          <w:rFonts w:cs="Arial"/>
        </w:rPr>
      </w:pPr>
    </w:p>
    <w:p w:rsidR="00691DBE" w:rsidRPr="00543C27" w:rsidRDefault="00FE44C9" w:rsidP="00543C27">
      <w:pPr>
        <w:spacing w:line="276" w:lineRule="auto"/>
        <w:jc w:val="both"/>
        <w:rPr>
          <w:rFonts w:cs="Arial"/>
        </w:rPr>
      </w:pPr>
      <w:r>
        <w:rPr>
          <w:rFonts w:cs="Arial"/>
        </w:rPr>
        <w:t xml:space="preserve">The Little Hulton Big Local would consider match-funding as part of this proposal. </w:t>
      </w:r>
    </w:p>
    <w:p w:rsidR="00954C41" w:rsidRPr="007D3B75" w:rsidRDefault="007D3B75" w:rsidP="007D3B75">
      <w:pPr>
        <w:spacing w:line="360" w:lineRule="auto"/>
        <w:jc w:val="both"/>
        <w:rPr>
          <w:rFonts w:cs="Arial"/>
          <w:b/>
        </w:rPr>
      </w:pPr>
      <w:r>
        <w:rPr>
          <w:rFonts w:cs="Arial"/>
          <w:b/>
        </w:rPr>
        <w:t xml:space="preserve">8. </w:t>
      </w:r>
      <w:r>
        <w:rPr>
          <w:rFonts w:cs="Arial"/>
          <w:b/>
        </w:rPr>
        <w:tab/>
      </w:r>
      <w:r w:rsidR="00954C41" w:rsidRPr="007D3B75">
        <w:rPr>
          <w:rFonts w:cs="Arial"/>
          <w:b/>
        </w:rPr>
        <w:t>Compliance</w:t>
      </w:r>
    </w:p>
    <w:p w:rsidR="00954C41" w:rsidRPr="00501B8B" w:rsidRDefault="00954C41" w:rsidP="002C6678">
      <w:pPr>
        <w:pStyle w:val="ListParagraph"/>
        <w:spacing w:line="360" w:lineRule="auto"/>
        <w:ind w:left="567"/>
        <w:jc w:val="both"/>
        <w:rPr>
          <w:rFonts w:cs="Arial"/>
          <w:b/>
        </w:rPr>
      </w:pPr>
    </w:p>
    <w:p w:rsidR="00954C41" w:rsidRPr="003E1410" w:rsidRDefault="00D36EFC" w:rsidP="002C6678">
      <w:pPr>
        <w:spacing w:line="360" w:lineRule="auto"/>
        <w:jc w:val="both"/>
        <w:rPr>
          <w:rFonts w:cs="Arial"/>
        </w:rPr>
      </w:pPr>
      <w:r w:rsidRPr="003E1410">
        <w:rPr>
          <w:rFonts w:cs="Arial"/>
        </w:rPr>
        <w:t>The provider</w:t>
      </w:r>
      <w:r w:rsidR="00954C41" w:rsidRPr="003E1410">
        <w:rPr>
          <w:rFonts w:cs="Arial"/>
        </w:rPr>
        <w:t xml:space="preserve"> </w:t>
      </w:r>
      <w:r w:rsidRPr="003E1410">
        <w:rPr>
          <w:rFonts w:cs="Arial"/>
        </w:rPr>
        <w:t>is</w:t>
      </w:r>
      <w:r w:rsidR="00954C41" w:rsidRPr="003E1410">
        <w:rPr>
          <w:rFonts w:cs="Arial"/>
        </w:rPr>
        <w:t xml:space="preserve"> expected to be compliant with all necessary policies and procedures and provide evidence of practice, where appropriate. This includes:</w:t>
      </w:r>
    </w:p>
    <w:p w:rsidR="003E1410" w:rsidRPr="003E1410" w:rsidRDefault="003E1410" w:rsidP="002C6678">
      <w:pPr>
        <w:pStyle w:val="ListParagraph"/>
        <w:numPr>
          <w:ilvl w:val="0"/>
          <w:numId w:val="25"/>
        </w:numPr>
        <w:spacing w:after="200" w:line="360" w:lineRule="auto"/>
        <w:jc w:val="both"/>
        <w:rPr>
          <w:rFonts w:cs="Arial"/>
        </w:rPr>
      </w:pPr>
      <w:r w:rsidRPr="003E1410">
        <w:rPr>
          <w:rFonts w:cs="Arial"/>
        </w:rPr>
        <w:t>Safeguarding</w:t>
      </w:r>
    </w:p>
    <w:p w:rsidR="00954C41" w:rsidRPr="003E1410" w:rsidRDefault="00954C41" w:rsidP="002C6678">
      <w:pPr>
        <w:pStyle w:val="ListParagraph"/>
        <w:numPr>
          <w:ilvl w:val="0"/>
          <w:numId w:val="25"/>
        </w:numPr>
        <w:spacing w:after="200" w:line="360" w:lineRule="auto"/>
        <w:jc w:val="both"/>
        <w:rPr>
          <w:rFonts w:cs="Arial"/>
        </w:rPr>
      </w:pPr>
      <w:r w:rsidRPr="003E1410">
        <w:rPr>
          <w:rFonts w:cs="Arial"/>
        </w:rPr>
        <w:lastRenderedPageBreak/>
        <w:t>Relevant legislation</w:t>
      </w:r>
    </w:p>
    <w:p w:rsidR="00954C41" w:rsidRPr="003E1410" w:rsidRDefault="003E1410" w:rsidP="002C6678">
      <w:pPr>
        <w:pStyle w:val="ListParagraph"/>
        <w:numPr>
          <w:ilvl w:val="0"/>
          <w:numId w:val="25"/>
        </w:numPr>
        <w:spacing w:after="200" w:line="360" w:lineRule="auto"/>
        <w:jc w:val="both"/>
        <w:rPr>
          <w:rFonts w:cs="Arial"/>
        </w:rPr>
      </w:pPr>
      <w:r>
        <w:rPr>
          <w:rFonts w:cs="Arial"/>
        </w:rPr>
        <w:t>Insurance</w:t>
      </w:r>
    </w:p>
    <w:p w:rsidR="00954C41" w:rsidRPr="003E1410" w:rsidRDefault="00954C41" w:rsidP="002C6678">
      <w:pPr>
        <w:pStyle w:val="ListParagraph"/>
        <w:numPr>
          <w:ilvl w:val="0"/>
          <w:numId w:val="25"/>
        </w:numPr>
        <w:spacing w:after="200" w:line="360" w:lineRule="auto"/>
        <w:jc w:val="both"/>
        <w:rPr>
          <w:rFonts w:cs="Arial"/>
        </w:rPr>
      </w:pPr>
      <w:r w:rsidRPr="003E1410">
        <w:rPr>
          <w:rFonts w:cs="Arial"/>
        </w:rPr>
        <w:t>Complaints Procedure</w:t>
      </w:r>
    </w:p>
    <w:p w:rsidR="00954C41" w:rsidRPr="003E1410" w:rsidRDefault="003E1410" w:rsidP="002C6678">
      <w:pPr>
        <w:pStyle w:val="ListParagraph"/>
        <w:numPr>
          <w:ilvl w:val="0"/>
          <w:numId w:val="25"/>
        </w:numPr>
        <w:spacing w:after="200" w:line="360" w:lineRule="auto"/>
        <w:jc w:val="both"/>
        <w:rPr>
          <w:rFonts w:cs="Arial"/>
        </w:rPr>
      </w:pPr>
      <w:r>
        <w:rPr>
          <w:rFonts w:cs="Arial"/>
        </w:rPr>
        <w:t xml:space="preserve">Equality and Diversity </w:t>
      </w:r>
      <w:r w:rsidR="00954C41" w:rsidRPr="003E1410">
        <w:rPr>
          <w:rFonts w:cs="Arial"/>
        </w:rPr>
        <w:t>Policy</w:t>
      </w:r>
    </w:p>
    <w:p w:rsidR="00954C41" w:rsidRDefault="00954C41" w:rsidP="002C6678">
      <w:pPr>
        <w:pStyle w:val="ListParagraph"/>
        <w:numPr>
          <w:ilvl w:val="0"/>
          <w:numId w:val="25"/>
        </w:numPr>
        <w:spacing w:after="200" w:line="360" w:lineRule="auto"/>
        <w:jc w:val="both"/>
        <w:rPr>
          <w:rFonts w:cs="Arial"/>
        </w:rPr>
      </w:pPr>
      <w:r w:rsidRPr="003E1410">
        <w:rPr>
          <w:rFonts w:cs="Arial"/>
        </w:rPr>
        <w:t>Health and Safety</w:t>
      </w:r>
    </w:p>
    <w:p w:rsidR="003E1410" w:rsidRDefault="003E1410" w:rsidP="002C6678">
      <w:pPr>
        <w:pStyle w:val="ListParagraph"/>
        <w:numPr>
          <w:ilvl w:val="0"/>
          <w:numId w:val="25"/>
        </w:numPr>
        <w:spacing w:after="200" w:line="360" w:lineRule="auto"/>
        <w:jc w:val="both"/>
        <w:rPr>
          <w:rFonts w:cs="Arial"/>
        </w:rPr>
      </w:pPr>
      <w:r>
        <w:rPr>
          <w:rFonts w:cs="Arial"/>
        </w:rPr>
        <w:t>Vocational registration (where applicable)</w:t>
      </w:r>
    </w:p>
    <w:p w:rsidR="003E1410" w:rsidRDefault="003E1410" w:rsidP="002C6678">
      <w:pPr>
        <w:pStyle w:val="ListParagraph"/>
        <w:numPr>
          <w:ilvl w:val="0"/>
          <w:numId w:val="25"/>
        </w:numPr>
        <w:spacing w:after="200" w:line="360" w:lineRule="auto"/>
        <w:jc w:val="both"/>
        <w:rPr>
          <w:rFonts w:cs="Arial"/>
        </w:rPr>
      </w:pPr>
      <w:r>
        <w:rPr>
          <w:rFonts w:cs="Arial"/>
        </w:rPr>
        <w:t>Managing quality</w:t>
      </w:r>
    </w:p>
    <w:p w:rsidR="003256E2" w:rsidRDefault="003E1410" w:rsidP="005B6524">
      <w:pPr>
        <w:pStyle w:val="ListParagraph"/>
        <w:numPr>
          <w:ilvl w:val="0"/>
          <w:numId w:val="25"/>
        </w:numPr>
        <w:spacing w:after="200" w:line="360" w:lineRule="auto"/>
        <w:jc w:val="both"/>
        <w:rPr>
          <w:rFonts w:cs="Arial"/>
        </w:rPr>
      </w:pPr>
      <w:r>
        <w:rPr>
          <w:rFonts w:cs="Arial"/>
        </w:rPr>
        <w:t>Data sharing</w:t>
      </w:r>
    </w:p>
    <w:p w:rsidR="005B6524" w:rsidRPr="005B6524" w:rsidRDefault="005B6524" w:rsidP="005B6524">
      <w:pPr>
        <w:pStyle w:val="ListParagraph"/>
        <w:spacing w:after="200" w:line="360" w:lineRule="auto"/>
        <w:ind w:left="1080"/>
        <w:jc w:val="both"/>
        <w:rPr>
          <w:rFonts w:cs="Arial"/>
        </w:rPr>
      </w:pPr>
    </w:p>
    <w:p w:rsidR="00954C41" w:rsidRPr="007D3B75" w:rsidRDefault="007D3B75" w:rsidP="007D3B75">
      <w:pPr>
        <w:pStyle w:val="ListParagraph"/>
        <w:numPr>
          <w:ilvl w:val="0"/>
          <w:numId w:val="32"/>
        </w:numPr>
        <w:spacing w:line="360" w:lineRule="auto"/>
        <w:jc w:val="both"/>
        <w:rPr>
          <w:rFonts w:cs="Arial"/>
          <w:b/>
        </w:rPr>
      </w:pPr>
      <w:r>
        <w:rPr>
          <w:rFonts w:cs="Arial"/>
          <w:b/>
        </w:rPr>
        <w:t xml:space="preserve"> </w:t>
      </w:r>
      <w:r>
        <w:rPr>
          <w:rFonts w:cs="Arial"/>
          <w:b/>
        </w:rPr>
        <w:tab/>
      </w:r>
      <w:r w:rsidR="00954C41" w:rsidRPr="007D3B75">
        <w:rPr>
          <w:rFonts w:cs="Arial"/>
          <w:b/>
        </w:rPr>
        <w:t>Safeguarding</w:t>
      </w:r>
    </w:p>
    <w:p w:rsidR="00954C41" w:rsidRPr="003E1410" w:rsidRDefault="00954C41" w:rsidP="002C6678">
      <w:pPr>
        <w:spacing w:line="360" w:lineRule="auto"/>
        <w:jc w:val="both"/>
        <w:rPr>
          <w:rFonts w:cs="Arial"/>
          <w:b/>
        </w:rPr>
      </w:pPr>
    </w:p>
    <w:p w:rsidR="00954C41" w:rsidRPr="003E1410" w:rsidRDefault="00954C41" w:rsidP="002C6678">
      <w:pPr>
        <w:spacing w:line="360" w:lineRule="auto"/>
        <w:jc w:val="both"/>
        <w:rPr>
          <w:rFonts w:cs="Arial"/>
        </w:rPr>
      </w:pPr>
      <w:r w:rsidRPr="003E1410">
        <w:rPr>
          <w:rFonts w:cs="Arial"/>
        </w:rPr>
        <w:t xml:space="preserve">In Salford, we are committed to promoting the welfare of all citizens, and ensuring that children and vulnerable adults are </w:t>
      </w:r>
      <w:r w:rsidRPr="003E1410">
        <w:rPr>
          <w:rFonts w:cs="Arial"/>
        </w:rPr>
        <w:lastRenderedPageBreak/>
        <w:t>kept safe from</w:t>
      </w:r>
      <w:r w:rsidR="003E1410" w:rsidRPr="003E1410">
        <w:rPr>
          <w:rFonts w:cs="Arial"/>
        </w:rPr>
        <w:t xml:space="preserve"> harm.</w:t>
      </w:r>
      <w:r w:rsidRPr="003E1410">
        <w:rPr>
          <w:rFonts w:cs="Arial"/>
        </w:rPr>
        <w:t xml:space="preserve"> The provider </w:t>
      </w:r>
      <w:r w:rsidR="003E1410" w:rsidRPr="003E1410">
        <w:rPr>
          <w:rFonts w:cs="Arial"/>
        </w:rPr>
        <w:t>must</w:t>
      </w:r>
      <w:r w:rsidRPr="003E1410">
        <w:rPr>
          <w:rFonts w:cs="Arial"/>
        </w:rPr>
        <w:t xml:space="preserve"> demonstrate a commitment to keep all children,</w:t>
      </w:r>
      <w:r w:rsidR="003E1410" w:rsidRPr="003E1410">
        <w:rPr>
          <w:rFonts w:cs="Arial"/>
        </w:rPr>
        <w:t xml:space="preserve"> young people and adults safe. </w:t>
      </w:r>
      <w:r w:rsidRPr="003E1410">
        <w:rPr>
          <w:rFonts w:cs="Arial"/>
        </w:rPr>
        <w:t>This will include:</w:t>
      </w:r>
    </w:p>
    <w:p w:rsidR="00954C41" w:rsidRPr="003E1410" w:rsidRDefault="00954C41" w:rsidP="003E1410">
      <w:pPr>
        <w:pStyle w:val="ListParagraph"/>
        <w:numPr>
          <w:ilvl w:val="0"/>
          <w:numId w:val="26"/>
        </w:numPr>
        <w:spacing w:after="200" w:line="360" w:lineRule="auto"/>
        <w:ind w:left="720"/>
        <w:jc w:val="both"/>
        <w:rPr>
          <w:rFonts w:cs="Arial"/>
        </w:rPr>
      </w:pPr>
      <w:r w:rsidRPr="003E1410">
        <w:rPr>
          <w:rFonts w:cs="Arial"/>
        </w:rPr>
        <w:t>Suitable procedures in respect of adult protection, to prevent and respond to abuse. These must be compatible with the Safeguarding Vulnerable Adults multi agency policy and procedures;</w:t>
      </w:r>
    </w:p>
    <w:p w:rsidR="00954C41" w:rsidRPr="003E1410" w:rsidRDefault="00954C41" w:rsidP="002C6678">
      <w:pPr>
        <w:pStyle w:val="ListParagraph"/>
        <w:numPr>
          <w:ilvl w:val="0"/>
          <w:numId w:val="26"/>
        </w:numPr>
        <w:spacing w:after="200" w:line="360" w:lineRule="auto"/>
        <w:ind w:left="720"/>
        <w:jc w:val="both"/>
        <w:rPr>
          <w:rFonts w:cs="Arial"/>
        </w:rPr>
      </w:pPr>
      <w:r w:rsidRPr="003E1410">
        <w:rPr>
          <w:rFonts w:cs="Arial"/>
        </w:rPr>
        <w:t>Suitable arrangements to safeguard and promote the welfare of children.  These must meet the Salford Safeguarding Children Board (SSCB) standards.</w:t>
      </w:r>
    </w:p>
    <w:p w:rsidR="003256E2" w:rsidRDefault="00954C41" w:rsidP="003F1B34">
      <w:pPr>
        <w:spacing w:line="360" w:lineRule="auto"/>
        <w:jc w:val="both"/>
        <w:rPr>
          <w:rFonts w:cs="Arial"/>
        </w:rPr>
      </w:pPr>
      <w:r w:rsidRPr="003E1410">
        <w:rPr>
          <w:rFonts w:cs="Arial"/>
        </w:rPr>
        <w:t>This will include robust and clear safeguarding policies and procedures. For further information and to ensure that you have the correct policies and procedures in place, refer to</w:t>
      </w:r>
      <w:r w:rsidR="003E1410">
        <w:rPr>
          <w:rFonts w:cs="Arial"/>
        </w:rPr>
        <w:t xml:space="preserve"> </w:t>
      </w:r>
      <w:hyperlink r:id="rId8" w:history="1">
        <w:r w:rsidR="003E1410" w:rsidRPr="00BC3640">
          <w:rPr>
            <w:rStyle w:val="Hyperlink"/>
            <w:rFonts w:cs="Arial"/>
          </w:rPr>
          <w:t>https://www.partnersinsalford.org/sscb/</w:t>
        </w:r>
      </w:hyperlink>
      <w:r w:rsidR="003E1410">
        <w:rPr>
          <w:rFonts w:cs="Arial"/>
        </w:rPr>
        <w:t xml:space="preserve"> </w:t>
      </w:r>
    </w:p>
    <w:p w:rsidR="00C874D3" w:rsidRDefault="00C874D3" w:rsidP="003F1B34">
      <w:pPr>
        <w:spacing w:line="360" w:lineRule="auto"/>
        <w:jc w:val="both"/>
        <w:rPr>
          <w:rFonts w:cs="Arial"/>
        </w:rPr>
      </w:pPr>
    </w:p>
    <w:p w:rsidR="00691DBE" w:rsidRDefault="00691DBE" w:rsidP="003F1B34">
      <w:pPr>
        <w:spacing w:line="360" w:lineRule="auto"/>
        <w:jc w:val="both"/>
        <w:rPr>
          <w:rFonts w:cs="Arial"/>
        </w:rPr>
      </w:pPr>
    </w:p>
    <w:p w:rsidR="00691DBE" w:rsidRDefault="00691DBE" w:rsidP="003F1B34">
      <w:pPr>
        <w:spacing w:line="360" w:lineRule="auto"/>
        <w:jc w:val="both"/>
        <w:rPr>
          <w:rFonts w:cs="Arial"/>
        </w:rPr>
      </w:pPr>
    </w:p>
    <w:p w:rsidR="00691DBE" w:rsidRDefault="00691DBE" w:rsidP="003F1B34">
      <w:pPr>
        <w:spacing w:line="360" w:lineRule="auto"/>
        <w:jc w:val="both"/>
        <w:rPr>
          <w:rFonts w:cs="Arial"/>
        </w:rPr>
      </w:pPr>
    </w:p>
    <w:p w:rsidR="00691DBE" w:rsidRPr="00501B8B" w:rsidRDefault="00691DBE" w:rsidP="003F1B34">
      <w:pPr>
        <w:spacing w:line="360" w:lineRule="auto"/>
        <w:jc w:val="both"/>
        <w:rPr>
          <w:rFonts w:cs="Arial"/>
        </w:rPr>
      </w:pPr>
    </w:p>
    <w:p w:rsidR="00954C41" w:rsidRPr="00E146E0" w:rsidRDefault="007D3B75" w:rsidP="007D3B75">
      <w:pPr>
        <w:pStyle w:val="ListParagraph"/>
        <w:numPr>
          <w:ilvl w:val="0"/>
          <w:numId w:val="32"/>
        </w:numPr>
        <w:spacing w:line="360" w:lineRule="auto"/>
        <w:jc w:val="both"/>
        <w:rPr>
          <w:rFonts w:cs="Arial"/>
        </w:rPr>
      </w:pPr>
      <w:r w:rsidRPr="00E146E0">
        <w:rPr>
          <w:rFonts w:cs="Arial"/>
          <w:b/>
        </w:rPr>
        <w:t xml:space="preserve"> </w:t>
      </w:r>
      <w:r w:rsidRPr="00E146E0">
        <w:rPr>
          <w:rFonts w:cs="Arial"/>
          <w:b/>
        </w:rPr>
        <w:tab/>
      </w:r>
      <w:r w:rsidR="00954C41" w:rsidRPr="00E146E0">
        <w:rPr>
          <w:rFonts w:cs="Arial"/>
          <w:b/>
        </w:rPr>
        <w:t>Staffing</w:t>
      </w:r>
    </w:p>
    <w:p w:rsidR="00954C41" w:rsidRPr="00E146E0" w:rsidRDefault="00954C41" w:rsidP="002C6678">
      <w:pPr>
        <w:pStyle w:val="ListParagraph"/>
        <w:spacing w:line="360" w:lineRule="auto"/>
        <w:ind w:hanging="720"/>
        <w:jc w:val="both"/>
        <w:rPr>
          <w:rFonts w:cs="Arial"/>
        </w:rPr>
      </w:pPr>
    </w:p>
    <w:p w:rsidR="00954C41" w:rsidRPr="00E146E0" w:rsidRDefault="00954C41" w:rsidP="002C6678">
      <w:pPr>
        <w:pStyle w:val="ListParagraph"/>
        <w:spacing w:line="360" w:lineRule="auto"/>
        <w:ind w:left="0"/>
        <w:jc w:val="both"/>
        <w:rPr>
          <w:rFonts w:cs="Arial"/>
        </w:rPr>
      </w:pPr>
      <w:r w:rsidRPr="00E146E0">
        <w:rPr>
          <w:rFonts w:cs="Arial"/>
        </w:rPr>
        <w:t xml:space="preserve">The provider </w:t>
      </w:r>
      <w:r w:rsidR="003E1410" w:rsidRPr="00E146E0">
        <w:rPr>
          <w:rFonts w:cs="Arial"/>
        </w:rPr>
        <w:t xml:space="preserve">must </w:t>
      </w:r>
      <w:r w:rsidRPr="00E146E0">
        <w:rPr>
          <w:rFonts w:cs="Arial"/>
        </w:rPr>
        <w:t>have suitably qualified and trained staff and volunteers who are able to deliver the service effectively and professionally. In meeting t</w:t>
      </w:r>
      <w:r w:rsidR="003E1410" w:rsidRPr="00E146E0">
        <w:rPr>
          <w:rFonts w:cs="Arial"/>
        </w:rPr>
        <w:t>his requirement, the provider</w:t>
      </w:r>
      <w:r w:rsidRPr="00E146E0">
        <w:rPr>
          <w:rFonts w:cs="Arial"/>
        </w:rPr>
        <w:t xml:space="preserve"> should ensure all staff have: </w:t>
      </w:r>
    </w:p>
    <w:p w:rsidR="00954C41" w:rsidRPr="00E146E0" w:rsidRDefault="00954C41" w:rsidP="002C6678">
      <w:pPr>
        <w:pStyle w:val="ListParagraph"/>
        <w:spacing w:line="360" w:lineRule="auto"/>
        <w:ind w:left="1080"/>
        <w:jc w:val="both"/>
        <w:rPr>
          <w:rFonts w:cs="Arial"/>
        </w:rPr>
      </w:pPr>
    </w:p>
    <w:p w:rsidR="003E1410" w:rsidRPr="00E146E0" w:rsidRDefault="003E1410" w:rsidP="003E1410">
      <w:pPr>
        <w:pStyle w:val="ListParagraph"/>
        <w:numPr>
          <w:ilvl w:val="0"/>
          <w:numId w:val="36"/>
        </w:numPr>
        <w:spacing w:after="200" w:line="360" w:lineRule="auto"/>
        <w:jc w:val="both"/>
        <w:rPr>
          <w:rFonts w:cs="Arial"/>
        </w:rPr>
      </w:pPr>
      <w:r w:rsidRPr="00E146E0">
        <w:rPr>
          <w:rFonts w:cs="Arial"/>
        </w:rPr>
        <w:t>B</w:t>
      </w:r>
      <w:r w:rsidR="00954C41" w:rsidRPr="00E146E0">
        <w:rPr>
          <w:rFonts w:cs="Arial"/>
        </w:rPr>
        <w:t>een appropriately vetted and undertaken all necessary checks with the Discl</w:t>
      </w:r>
      <w:r w:rsidR="00E146E0" w:rsidRPr="00E146E0">
        <w:rPr>
          <w:rFonts w:cs="Arial"/>
        </w:rPr>
        <w:t>osure and Barring Service (“DBS</w:t>
      </w:r>
      <w:r w:rsidR="00954C41" w:rsidRPr="00E146E0">
        <w:rPr>
          <w:rFonts w:cs="Arial"/>
        </w:rPr>
        <w:t xml:space="preserve">) where access to children </w:t>
      </w:r>
      <w:r w:rsidRPr="00E146E0">
        <w:rPr>
          <w:rFonts w:cs="Arial"/>
        </w:rPr>
        <w:t>and vulnerable adults is likely.</w:t>
      </w:r>
    </w:p>
    <w:p w:rsidR="003E1410" w:rsidRPr="00E146E0" w:rsidRDefault="003E1410" w:rsidP="003E1410">
      <w:pPr>
        <w:pStyle w:val="ListParagraph"/>
        <w:numPr>
          <w:ilvl w:val="0"/>
          <w:numId w:val="36"/>
        </w:numPr>
        <w:spacing w:after="200" w:line="360" w:lineRule="auto"/>
        <w:jc w:val="both"/>
        <w:rPr>
          <w:rFonts w:cs="Arial"/>
        </w:rPr>
      </w:pPr>
      <w:r w:rsidRPr="00E146E0">
        <w:rPr>
          <w:rFonts w:cs="Arial"/>
        </w:rPr>
        <w:lastRenderedPageBreak/>
        <w:t>K</w:t>
      </w:r>
      <w:r w:rsidR="00954C41" w:rsidRPr="00E146E0">
        <w:rPr>
          <w:rFonts w:cs="Arial"/>
        </w:rPr>
        <w:t>nowledge and experience of delivering similar ty</w:t>
      </w:r>
      <w:r w:rsidRPr="00E146E0">
        <w:rPr>
          <w:rFonts w:cs="Arial"/>
        </w:rPr>
        <w:t>pes of support and/or provision.</w:t>
      </w:r>
    </w:p>
    <w:p w:rsidR="003E1410" w:rsidRPr="00E146E0" w:rsidRDefault="003E1410" w:rsidP="003E1410">
      <w:pPr>
        <w:pStyle w:val="ListParagraph"/>
        <w:numPr>
          <w:ilvl w:val="0"/>
          <w:numId w:val="36"/>
        </w:numPr>
        <w:spacing w:after="200" w:line="360" w:lineRule="auto"/>
        <w:jc w:val="both"/>
        <w:rPr>
          <w:rFonts w:cs="Arial"/>
        </w:rPr>
      </w:pPr>
      <w:r w:rsidRPr="00E146E0">
        <w:rPr>
          <w:rFonts w:cs="Arial"/>
        </w:rPr>
        <w:t>G</w:t>
      </w:r>
      <w:r w:rsidR="00954C41" w:rsidRPr="00E146E0">
        <w:rPr>
          <w:rFonts w:cs="Arial"/>
        </w:rPr>
        <w:t>ood understanding of local services, education, employment and training provision and other relevant engagem</w:t>
      </w:r>
      <w:r w:rsidRPr="00E146E0">
        <w:rPr>
          <w:rFonts w:cs="Arial"/>
        </w:rPr>
        <w:t>ent activities in LH</w:t>
      </w:r>
      <w:r w:rsidR="00E146E0" w:rsidRPr="00E146E0">
        <w:rPr>
          <w:rFonts w:cs="Arial"/>
        </w:rPr>
        <w:t xml:space="preserve"> and Salford</w:t>
      </w:r>
      <w:r w:rsidRPr="00E146E0">
        <w:rPr>
          <w:rFonts w:cs="Arial"/>
        </w:rPr>
        <w:t>.</w:t>
      </w:r>
    </w:p>
    <w:p w:rsidR="00954C41" w:rsidRPr="00E146E0" w:rsidRDefault="003E1410" w:rsidP="003E1410">
      <w:pPr>
        <w:pStyle w:val="ListParagraph"/>
        <w:numPr>
          <w:ilvl w:val="0"/>
          <w:numId w:val="36"/>
        </w:numPr>
        <w:spacing w:after="200" w:line="360" w:lineRule="auto"/>
        <w:jc w:val="both"/>
        <w:rPr>
          <w:rFonts w:cs="Arial"/>
        </w:rPr>
      </w:pPr>
      <w:r w:rsidRPr="00E146E0">
        <w:rPr>
          <w:rFonts w:cs="Arial"/>
        </w:rPr>
        <w:t>G</w:t>
      </w:r>
      <w:r w:rsidR="00954C41" w:rsidRPr="00E146E0">
        <w:rPr>
          <w:rFonts w:cs="Arial"/>
        </w:rPr>
        <w:t>ood understanding of the ethnic, cultural, economic and personal profiles of young peopl</w:t>
      </w:r>
      <w:r w:rsidR="00DF0A5C" w:rsidRPr="00E146E0">
        <w:rPr>
          <w:rFonts w:cs="Arial"/>
        </w:rPr>
        <w:t xml:space="preserve">e within </w:t>
      </w:r>
      <w:r w:rsidR="00954C41" w:rsidRPr="00E146E0">
        <w:rPr>
          <w:rFonts w:cs="Arial"/>
        </w:rPr>
        <w:t>t</w:t>
      </w:r>
      <w:r w:rsidR="00DF0A5C" w:rsidRPr="00E146E0">
        <w:rPr>
          <w:rFonts w:cs="Arial"/>
        </w:rPr>
        <w:t>he LH</w:t>
      </w:r>
      <w:r w:rsidR="00954C41" w:rsidRPr="00E146E0">
        <w:rPr>
          <w:rFonts w:cs="Arial"/>
        </w:rPr>
        <w:t xml:space="preserve"> </w:t>
      </w:r>
      <w:r w:rsidR="00DF0A5C" w:rsidRPr="00E146E0">
        <w:rPr>
          <w:rFonts w:cs="Arial"/>
        </w:rPr>
        <w:t>community</w:t>
      </w:r>
      <w:r w:rsidR="00E146E0" w:rsidRPr="00E146E0">
        <w:rPr>
          <w:rFonts w:cs="Arial"/>
        </w:rPr>
        <w:t xml:space="preserve"> and Salford demographic</w:t>
      </w:r>
      <w:r w:rsidR="00954C41" w:rsidRPr="00E146E0">
        <w:rPr>
          <w:rFonts w:cs="Arial"/>
        </w:rPr>
        <w:t>.</w:t>
      </w:r>
    </w:p>
    <w:p w:rsidR="007D3B75" w:rsidRDefault="007D3B75">
      <w:pPr>
        <w:rPr>
          <w:rFonts w:cs="Arial"/>
          <w:b/>
        </w:rPr>
      </w:pPr>
      <w:r>
        <w:rPr>
          <w:rFonts w:cs="Arial"/>
          <w:b/>
        </w:rPr>
        <w:br w:type="page"/>
      </w:r>
    </w:p>
    <w:p w:rsidR="003256E2" w:rsidRPr="00501B8B" w:rsidRDefault="003256E2" w:rsidP="002C6678">
      <w:pPr>
        <w:spacing w:line="360" w:lineRule="auto"/>
        <w:rPr>
          <w:rFonts w:cs="Arial"/>
          <w:b/>
        </w:rPr>
      </w:pPr>
      <w:r w:rsidRPr="00501B8B">
        <w:rPr>
          <w:rFonts w:cs="Arial"/>
          <w:b/>
        </w:rPr>
        <w:lastRenderedPageBreak/>
        <w:t>Appendix 1</w:t>
      </w:r>
      <w:bookmarkStart w:id="0" w:name="_GoBack"/>
      <w:bookmarkEnd w:id="0"/>
    </w:p>
    <w:p w:rsidR="003256E2" w:rsidRPr="00501B8B" w:rsidRDefault="003256E2" w:rsidP="002C6678">
      <w:pPr>
        <w:spacing w:line="360" w:lineRule="auto"/>
        <w:rPr>
          <w:rFonts w:cs="Arial"/>
          <w:b/>
        </w:rPr>
      </w:pPr>
    </w:p>
    <w:p w:rsidR="003256E2" w:rsidRPr="00501B8B" w:rsidRDefault="003256E2" w:rsidP="002C6678">
      <w:pPr>
        <w:spacing w:line="360" w:lineRule="auto"/>
        <w:rPr>
          <w:rFonts w:cs="Arial"/>
          <w:b/>
        </w:rPr>
      </w:pPr>
      <w:r w:rsidRPr="00501B8B">
        <w:rPr>
          <w:rFonts w:cs="Arial"/>
          <w:b/>
        </w:rPr>
        <w:t>Strategic Alignment</w:t>
      </w:r>
    </w:p>
    <w:p w:rsidR="003256E2" w:rsidRPr="00501B8B" w:rsidRDefault="003256E2" w:rsidP="002C6678">
      <w:pPr>
        <w:spacing w:line="360" w:lineRule="auto"/>
        <w:rPr>
          <w:rFonts w:cs="Arial"/>
        </w:rPr>
      </w:pPr>
    </w:p>
    <w:p w:rsidR="003256E2" w:rsidRPr="00501B8B" w:rsidRDefault="003256E2" w:rsidP="002C6678">
      <w:pPr>
        <w:autoSpaceDE w:val="0"/>
        <w:autoSpaceDN w:val="0"/>
        <w:adjustRightInd w:val="0"/>
        <w:spacing w:line="360" w:lineRule="auto"/>
        <w:jc w:val="both"/>
        <w:rPr>
          <w:rFonts w:cs="Arial"/>
        </w:rPr>
      </w:pPr>
      <w:r w:rsidRPr="00501B8B">
        <w:rPr>
          <w:rFonts w:cs="Arial"/>
        </w:rPr>
        <w:t xml:space="preserve">In the last ten years, Salford has experienced exceptional levels of growth, well above Greater Manchester and national averages. </w:t>
      </w:r>
      <w:r w:rsidRPr="00501B8B">
        <w:rPr>
          <w:rFonts w:cs="Arial"/>
          <w:bCs/>
        </w:rPr>
        <w:t xml:space="preserve">The population </w:t>
      </w:r>
      <w:r w:rsidRPr="00501B8B">
        <w:rPr>
          <w:rFonts w:cs="Arial"/>
        </w:rPr>
        <w:t>grew by 24,000 – growth of 11%, which was above the Greater Manchester (+7%) and national (+7.4%) averages.</w:t>
      </w:r>
    </w:p>
    <w:p w:rsidR="003256E2" w:rsidRPr="00501B8B" w:rsidRDefault="003256E2" w:rsidP="002C6678">
      <w:pPr>
        <w:autoSpaceDE w:val="0"/>
        <w:autoSpaceDN w:val="0"/>
        <w:adjustRightInd w:val="0"/>
        <w:spacing w:line="360" w:lineRule="auto"/>
        <w:jc w:val="both"/>
        <w:rPr>
          <w:rFonts w:cs="Arial"/>
        </w:rPr>
      </w:pPr>
    </w:p>
    <w:p w:rsidR="003256E2" w:rsidRPr="00501B8B" w:rsidRDefault="003256E2" w:rsidP="002C6678">
      <w:pPr>
        <w:autoSpaceDE w:val="0"/>
        <w:autoSpaceDN w:val="0"/>
        <w:adjustRightInd w:val="0"/>
        <w:spacing w:line="360" w:lineRule="auto"/>
        <w:jc w:val="both"/>
        <w:rPr>
          <w:rFonts w:cs="Arial"/>
        </w:rPr>
      </w:pPr>
      <w:r w:rsidRPr="00501B8B">
        <w:rPr>
          <w:rFonts w:cs="Arial"/>
        </w:rPr>
        <w:t xml:space="preserve">Over the next ten years, Salford’s exceptional level of growth is forecast to continue at more or less the equivalent rate of the past decade. Based on the current development pipeline, a further £3.9 billion private sector investment is forecast with </w:t>
      </w:r>
      <w:r w:rsidRPr="00501B8B">
        <w:rPr>
          <w:rFonts w:cs="Arial"/>
        </w:rPr>
        <w:lastRenderedPageBreak/>
        <w:t>18,000 new homes and 1.6 million square metres of employment floor space developed.</w:t>
      </w:r>
    </w:p>
    <w:p w:rsidR="003256E2" w:rsidRPr="00501B8B" w:rsidRDefault="003256E2" w:rsidP="002C6678">
      <w:pPr>
        <w:autoSpaceDE w:val="0"/>
        <w:autoSpaceDN w:val="0"/>
        <w:adjustRightInd w:val="0"/>
        <w:spacing w:line="360" w:lineRule="auto"/>
        <w:jc w:val="both"/>
        <w:rPr>
          <w:rFonts w:cs="Arial"/>
        </w:rPr>
      </w:pPr>
    </w:p>
    <w:p w:rsidR="003256E2" w:rsidRPr="00501B8B" w:rsidRDefault="003256E2" w:rsidP="002C6678">
      <w:pPr>
        <w:autoSpaceDE w:val="0"/>
        <w:autoSpaceDN w:val="0"/>
        <w:adjustRightInd w:val="0"/>
        <w:spacing w:line="360" w:lineRule="auto"/>
        <w:jc w:val="both"/>
        <w:rPr>
          <w:rFonts w:cs="Arial"/>
        </w:rPr>
      </w:pPr>
      <w:r w:rsidRPr="00501B8B">
        <w:rPr>
          <w:rFonts w:cs="Arial"/>
        </w:rPr>
        <w:t>There are a significant number of projects under way or planned that will have major long-term impact on the city, creating thousands of new business, employment and training opportunities for local people.</w:t>
      </w:r>
    </w:p>
    <w:p w:rsidR="003256E2" w:rsidRPr="00501B8B" w:rsidRDefault="003256E2" w:rsidP="002C6678">
      <w:pPr>
        <w:autoSpaceDE w:val="0"/>
        <w:autoSpaceDN w:val="0"/>
        <w:adjustRightInd w:val="0"/>
        <w:spacing w:line="360" w:lineRule="auto"/>
        <w:jc w:val="both"/>
        <w:rPr>
          <w:rFonts w:cs="Arial"/>
        </w:rPr>
      </w:pPr>
    </w:p>
    <w:p w:rsidR="003256E2" w:rsidRPr="00501B8B" w:rsidRDefault="003256E2" w:rsidP="002C6678">
      <w:pPr>
        <w:autoSpaceDE w:val="0"/>
        <w:autoSpaceDN w:val="0"/>
        <w:adjustRightInd w:val="0"/>
        <w:spacing w:line="360" w:lineRule="auto"/>
        <w:jc w:val="both"/>
        <w:rPr>
          <w:rFonts w:cs="Arial"/>
        </w:rPr>
      </w:pPr>
      <w:r w:rsidRPr="00501B8B">
        <w:rPr>
          <w:rFonts w:cs="Arial"/>
        </w:rPr>
        <w:t>Current developments include the expansion of Greengate, MediaCityUK, Port Salford, RHS Garden Bridgewater and Salford Central, which have the potential to create a combined total of 36,000 new jobs over the next 15 years.</w:t>
      </w:r>
    </w:p>
    <w:p w:rsidR="003256E2" w:rsidRPr="00501B8B" w:rsidRDefault="003256E2" w:rsidP="002C6678">
      <w:pPr>
        <w:autoSpaceDE w:val="0"/>
        <w:autoSpaceDN w:val="0"/>
        <w:adjustRightInd w:val="0"/>
        <w:spacing w:line="360" w:lineRule="auto"/>
        <w:jc w:val="both"/>
        <w:rPr>
          <w:rFonts w:cs="Arial"/>
        </w:rPr>
      </w:pPr>
    </w:p>
    <w:p w:rsidR="003256E2" w:rsidRPr="00501B8B" w:rsidRDefault="003256E2" w:rsidP="002C6678">
      <w:pPr>
        <w:autoSpaceDE w:val="0"/>
        <w:autoSpaceDN w:val="0"/>
        <w:adjustRightInd w:val="0"/>
        <w:spacing w:line="360" w:lineRule="auto"/>
        <w:jc w:val="both"/>
        <w:rPr>
          <w:rFonts w:cs="Arial"/>
        </w:rPr>
      </w:pPr>
      <w:r w:rsidRPr="00501B8B">
        <w:rPr>
          <w:rFonts w:cs="Arial"/>
        </w:rPr>
        <w:lastRenderedPageBreak/>
        <w:t>The Greater Manchester Forecasting Model (GMFM)</w:t>
      </w:r>
      <w:r w:rsidRPr="00501B8B">
        <w:rPr>
          <w:rStyle w:val="FootnoteReference"/>
          <w:rFonts w:cs="Arial"/>
        </w:rPr>
        <w:footnoteReference w:id="14"/>
      </w:r>
      <w:r w:rsidRPr="00501B8B">
        <w:rPr>
          <w:rFonts w:cs="Arial"/>
        </w:rPr>
        <w:t xml:space="preserve"> suggests Greater Manchester’s labour market will increasingly take on a pattern sometimes called ‘the hourglass economy’, with growth in both high-skill jobs and low-skill jobs, but much lower growth at intermediate skill levels.</w:t>
      </w:r>
    </w:p>
    <w:p w:rsidR="003256E2" w:rsidRPr="00501B8B" w:rsidRDefault="003256E2" w:rsidP="002C6678">
      <w:pPr>
        <w:autoSpaceDE w:val="0"/>
        <w:autoSpaceDN w:val="0"/>
        <w:adjustRightInd w:val="0"/>
        <w:spacing w:line="360" w:lineRule="auto"/>
        <w:jc w:val="both"/>
        <w:rPr>
          <w:rFonts w:cs="Arial"/>
        </w:rPr>
      </w:pPr>
    </w:p>
    <w:p w:rsidR="003256E2" w:rsidRPr="00501B8B" w:rsidRDefault="003256E2" w:rsidP="002C6678">
      <w:pPr>
        <w:autoSpaceDE w:val="0"/>
        <w:autoSpaceDN w:val="0"/>
        <w:adjustRightInd w:val="0"/>
        <w:spacing w:line="360" w:lineRule="auto"/>
        <w:jc w:val="both"/>
        <w:rPr>
          <w:rFonts w:cs="Arial"/>
        </w:rPr>
      </w:pPr>
      <w:r w:rsidRPr="00501B8B">
        <w:rPr>
          <w:rFonts w:cs="Arial"/>
        </w:rPr>
        <w:t>The GMFM forecast indicates that, in terms of changes in qualification required by Greater Manchester employers by 2033:</w:t>
      </w:r>
    </w:p>
    <w:p w:rsidR="003256E2" w:rsidRPr="00501B8B" w:rsidRDefault="003256E2" w:rsidP="002C6678">
      <w:pPr>
        <w:pStyle w:val="ListParagraph"/>
        <w:numPr>
          <w:ilvl w:val="0"/>
          <w:numId w:val="3"/>
        </w:numPr>
        <w:autoSpaceDE w:val="0"/>
        <w:autoSpaceDN w:val="0"/>
        <w:adjustRightInd w:val="0"/>
        <w:spacing w:line="360" w:lineRule="auto"/>
        <w:ind w:left="284" w:hanging="284"/>
        <w:jc w:val="both"/>
        <w:rPr>
          <w:rFonts w:cs="Arial"/>
        </w:rPr>
      </w:pPr>
      <w:r w:rsidRPr="00501B8B">
        <w:rPr>
          <w:rFonts w:cs="Arial"/>
        </w:rPr>
        <w:lastRenderedPageBreak/>
        <w:t>245,000 more jobs will require NQF (National Qualification Framework</w:t>
      </w:r>
      <w:r w:rsidRPr="00501B8B">
        <w:rPr>
          <w:rStyle w:val="FootnoteReference"/>
          <w:rFonts w:cs="Arial"/>
        </w:rPr>
        <w:footnoteReference w:id="15"/>
      </w:r>
      <w:r w:rsidRPr="00501B8B">
        <w:rPr>
          <w:rFonts w:cs="Arial"/>
        </w:rPr>
        <w:t>) Level 4+</w:t>
      </w:r>
    </w:p>
    <w:p w:rsidR="003256E2" w:rsidRPr="00501B8B" w:rsidRDefault="003256E2" w:rsidP="002C6678">
      <w:pPr>
        <w:pStyle w:val="ListParagraph"/>
        <w:numPr>
          <w:ilvl w:val="0"/>
          <w:numId w:val="3"/>
        </w:numPr>
        <w:autoSpaceDE w:val="0"/>
        <w:autoSpaceDN w:val="0"/>
        <w:adjustRightInd w:val="0"/>
        <w:spacing w:line="360" w:lineRule="auto"/>
        <w:ind w:left="284" w:hanging="284"/>
        <w:jc w:val="both"/>
        <w:rPr>
          <w:rFonts w:cs="Arial"/>
        </w:rPr>
      </w:pPr>
      <w:r w:rsidRPr="00501B8B">
        <w:rPr>
          <w:rFonts w:cs="Arial"/>
        </w:rPr>
        <w:t>105,000 fewer jobs will require NQF 3</w:t>
      </w:r>
    </w:p>
    <w:p w:rsidR="003256E2" w:rsidRPr="00501B8B" w:rsidRDefault="003256E2" w:rsidP="002C6678">
      <w:pPr>
        <w:pStyle w:val="ListParagraph"/>
        <w:numPr>
          <w:ilvl w:val="0"/>
          <w:numId w:val="3"/>
        </w:numPr>
        <w:autoSpaceDE w:val="0"/>
        <w:autoSpaceDN w:val="0"/>
        <w:adjustRightInd w:val="0"/>
        <w:spacing w:line="360" w:lineRule="auto"/>
        <w:ind w:left="284" w:hanging="284"/>
        <w:jc w:val="both"/>
        <w:rPr>
          <w:rFonts w:cs="Arial"/>
        </w:rPr>
      </w:pPr>
      <w:r w:rsidRPr="00501B8B">
        <w:rPr>
          <w:rFonts w:cs="Arial"/>
        </w:rPr>
        <w:t>52,000 fewer jobs will require NQF 2</w:t>
      </w:r>
    </w:p>
    <w:p w:rsidR="003256E2" w:rsidRPr="00501B8B" w:rsidRDefault="003256E2" w:rsidP="002C6678">
      <w:pPr>
        <w:pStyle w:val="ListParagraph"/>
        <w:numPr>
          <w:ilvl w:val="0"/>
          <w:numId w:val="3"/>
        </w:numPr>
        <w:autoSpaceDE w:val="0"/>
        <w:autoSpaceDN w:val="0"/>
        <w:adjustRightInd w:val="0"/>
        <w:spacing w:line="360" w:lineRule="auto"/>
        <w:ind w:left="284" w:hanging="284"/>
        <w:jc w:val="both"/>
        <w:rPr>
          <w:rFonts w:cs="Arial"/>
        </w:rPr>
      </w:pPr>
      <w:r w:rsidRPr="00501B8B">
        <w:rPr>
          <w:rFonts w:cs="Arial"/>
        </w:rPr>
        <w:t>15,000 more jobs will require NQF 1</w:t>
      </w:r>
    </w:p>
    <w:p w:rsidR="003256E2" w:rsidRPr="00501B8B" w:rsidRDefault="003256E2" w:rsidP="002C6678">
      <w:pPr>
        <w:pStyle w:val="ListParagraph"/>
        <w:numPr>
          <w:ilvl w:val="0"/>
          <w:numId w:val="3"/>
        </w:numPr>
        <w:autoSpaceDE w:val="0"/>
        <w:autoSpaceDN w:val="0"/>
        <w:adjustRightInd w:val="0"/>
        <w:spacing w:line="360" w:lineRule="auto"/>
        <w:ind w:left="284" w:hanging="284"/>
        <w:jc w:val="both"/>
        <w:rPr>
          <w:rFonts w:cs="Arial"/>
        </w:rPr>
      </w:pPr>
      <w:r w:rsidRPr="00501B8B">
        <w:rPr>
          <w:rFonts w:cs="Arial"/>
        </w:rPr>
        <w:t>28,000 more jobs will require other qualifications</w:t>
      </w:r>
    </w:p>
    <w:p w:rsidR="003256E2" w:rsidRPr="00501B8B" w:rsidRDefault="003256E2" w:rsidP="002C6678">
      <w:pPr>
        <w:pStyle w:val="ListParagraph"/>
        <w:numPr>
          <w:ilvl w:val="0"/>
          <w:numId w:val="3"/>
        </w:numPr>
        <w:spacing w:line="360" w:lineRule="auto"/>
        <w:ind w:left="284" w:hanging="284"/>
        <w:jc w:val="both"/>
        <w:rPr>
          <w:rFonts w:cs="Arial"/>
        </w:rPr>
      </w:pPr>
      <w:r w:rsidRPr="00501B8B">
        <w:rPr>
          <w:rFonts w:cs="Arial"/>
        </w:rPr>
        <w:t>47,000 fewer jobs will require no qualifications</w:t>
      </w:r>
    </w:p>
    <w:p w:rsidR="003256E2" w:rsidRPr="00501B8B" w:rsidRDefault="003256E2" w:rsidP="002C6678">
      <w:pPr>
        <w:autoSpaceDE w:val="0"/>
        <w:autoSpaceDN w:val="0"/>
        <w:adjustRightInd w:val="0"/>
        <w:spacing w:line="360" w:lineRule="auto"/>
        <w:rPr>
          <w:rFonts w:cs="Arial"/>
        </w:rPr>
      </w:pPr>
    </w:p>
    <w:p w:rsidR="003256E2" w:rsidRPr="00501B8B" w:rsidRDefault="003256E2" w:rsidP="002C6678">
      <w:pPr>
        <w:spacing w:line="360" w:lineRule="auto"/>
        <w:jc w:val="both"/>
        <w:rPr>
          <w:rFonts w:cs="Arial"/>
        </w:rPr>
      </w:pPr>
      <w:r w:rsidRPr="00501B8B">
        <w:rPr>
          <w:rFonts w:cs="Arial"/>
        </w:rPr>
        <w:t>Salford’s Employment and Skills Strategy 2017–2020</w:t>
      </w:r>
      <w:r w:rsidRPr="00501B8B">
        <w:rPr>
          <w:rStyle w:val="FootnoteReference"/>
          <w:rFonts w:cs="Arial"/>
        </w:rPr>
        <w:footnoteReference w:id="16"/>
      </w:r>
      <w:r w:rsidRPr="00501B8B">
        <w:rPr>
          <w:rFonts w:cs="Arial"/>
        </w:rPr>
        <w:t xml:space="preserve"> hi</w:t>
      </w:r>
      <w:r w:rsidR="00920AE5">
        <w:rPr>
          <w:rFonts w:cs="Arial"/>
        </w:rPr>
        <w:t>ghlights that it is therefore</w:t>
      </w:r>
      <w:r w:rsidRPr="00501B8B">
        <w:rPr>
          <w:rFonts w:cs="Arial"/>
        </w:rPr>
        <w:t xml:space="preserve"> important to work with industry/business to ensure that good employment standards are </w:t>
      </w:r>
      <w:r w:rsidRPr="00501B8B">
        <w:rPr>
          <w:rFonts w:cs="Arial"/>
        </w:rPr>
        <w:lastRenderedPageBreak/>
        <w:t>in place, with opportunities generated offering sustainable employment with an affordable level of pay, and that there are more opportunities for in-work progression.</w:t>
      </w:r>
    </w:p>
    <w:p w:rsidR="003256E2" w:rsidRPr="00501B8B" w:rsidRDefault="003256E2" w:rsidP="002C6678">
      <w:pPr>
        <w:spacing w:line="360" w:lineRule="auto"/>
        <w:jc w:val="both"/>
        <w:rPr>
          <w:rFonts w:cs="Arial"/>
        </w:rPr>
      </w:pPr>
    </w:p>
    <w:p w:rsidR="003256E2" w:rsidRPr="00501B8B" w:rsidRDefault="003256E2" w:rsidP="002C6678">
      <w:pPr>
        <w:spacing w:line="360" w:lineRule="auto"/>
        <w:jc w:val="both"/>
        <w:rPr>
          <w:rFonts w:cs="Arial"/>
        </w:rPr>
      </w:pPr>
      <w:r w:rsidRPr="00501B8B">
        <w:rPr>
          <w:rFonts w:cs="Arial"/>
        </w:rPr>
        <w:t>The key industries most likely to grow in the future are</w:t>
      </w:r>
      <w:r w:rsidRPr="00501B8B">
        <w:rPr>
          <w:rStyle w:val="FootnoteReference"/>
          <w:rFonts w:cs="Arial"/>
        </w:rPr>
        <w:footnoteReference w:id="17"/>
      </w:r>
      <w:r w:rsidRPr="00501B8B">
        <w:rPr>
          <w:rFonts w:cs="Arial"/>
        </w:rPr>
        <w:t>:</w:t>
      </w:r>
    </w:p>
    <w:p w:rsidR="003256E2" w:rsidRPr="00501B8B" w:rsidRDefault="003256E2" w:rsidP="002C6678">
      <w:pPr>
        <w:pStyle w:val="ListParagraph"/>
        <w:numPr>
          <w:ilvl w:val="0"/>
          <w:numId w:val="11"/>
        </w:numPr>
        <w:spacing w:line="360" w:lineRule="auto"/>
        <w:ind w:left="284" w:hanging="284"/>
        <w:jc w:val="both"/>
        <w:rPr>
          <w:rFonts w:cs="Arial"/>
        </w:rPr>
      </w:pPr>
      <w:r w:rsidRPr="00501B8B">
        <w:rPr>
          <w:rFonts w:cs="Arial"/>
        </w:rPr>
        <w:t>business, financial and professional skills</w:t>
      </w:r>
    </w:p>
    <w:p w:rsidR="003256E2" w:rsidRPr="00501B8B" w:rsidRDefault="003256E2" w:rsidP="002C6678">
      <w:pPr>
        <w:pStyle w:val="ListParagraph"/>
        <w:numPr>
          <w:ilvl w:val="0"/>
          <w:numId w:val="11"/>
        </w:numPr>
        <w:spacing w:line="360" w:lineRule="auto"/>
        <w:ind w:left="284" w:hanging="284"/>
        <w:jc w:val="both"/>
        <w:rPr>
          <w:rFonts w:cs="Arial"/>
        </w:rPr>
      </w:pPr>
      <w:r w:rsidRPr="00501B8B">
        <w:rPr>
          <w:rFonts w:cs="Arial"/>
        </w:rPr>
        <w:t>construction</w:t>
      </w:r>
    </w:p>
    <w:p w:rsidR="003256E2" w:rsidRPr="00501B8B" w:rsidRDefault="003256E2" w:rsidP="002C6678">
      <w:pPr>
        <w:pStyle w:val="ListParagraph"/>
        <w:numPr>
          <w:ilvl w:val="0"/>
          <w:numId w:val="11"/>
        </w:numPr>
        <w:spacing w:line="360" w:lineRule="auto"/>
        <w:ind w:left="284" w:hanging="284"/>
        <w:jc w:val="both"/>
        <w:rPr>
          <w:rFonts w:cs="Arial"/>
        </w:rPr>
      </w:pPr>
      <w:r w:rsidRPr="00501B8B">
        <w:rPr>
          <w:rFonts w:cs="Arial"/>
        </w:rPr>
        <w:t>digital and creative</w:t>
      </w:r>
    </w:p>
    <w:p w:rsidR="003256E2" w:rsidRPr="00501B8B" w:rsidRDefault="003256E2" w:rsidP="002C6678">
      <w:pPr>
        <w:pStyle w:val="ListParagraph"/>
        <w:numPr>
          <w:ilvl w:val="0"/>
          <w:numId w:val="11"/>
        </w:numPr>
        <w:spacing w:line="360" w:lineRule="auto"/>
        <w:ind w:left="284" w:hanging="284"/>
        <w:jc w:val="both"/>
        <w:rPr>
          <w:rFonts w:cs="Arial"/>
        </w:rPr>
      </w:pPr>
      <w:r w:rsidRPr="00501B8B">
        <w:rPr>
          <w:rFonts w:cs="Arial"/>
        </w:rPr>
        <w:t>health and social care</w:t>
      </w:r>
    </w:p>
    <w:p w:rsidR="003256E2" w:rsidRPr="00501B8B" w:rsidRDefault="003256E2" w:rsidP="002C6678">
      <w:pPr>
        <w:pStyle w:val="ListParagraph"/>
        <w:numPr>
          <w:ilvl w:val="0"/>
          <w:numId w:val="11"/>
        </w:numPr>
        <w:spacing w:line="360" w:lineRule="auto"/>
        <w:ind w:left="284" w:hanging="284"/>
        <w:jc w:val="both"/>
        <w:rPr>
          <w:rFonts w:cs="Arial"/>
        </w:rPr>
      </w:pPr>
      <w:r w:rsidRPr="00501B8B">
        <w:rPr>
          <w:rFonts w:cs="Arial"/>
        </w:rPr>
        <w:lastRenderedPageBreak/>
        <w:t>hospitality, tourism and sport</w:t>
      </w:r>
    </w:p>
    <w:p w:rsidR="003256E2" w:rsidRPr="00501B8B" w:rsidRDefault="003256E2" w:rsidP="002C6678">
      <w:pPr>
        <w:pStyle w:val="ListParagraph"/>
        <w:numPr>
          <w:ilvl w:val="0"/>
          <w:numId w:val="11"/>
        </w:numPr>
        <w:spacing w:line="360" w:lineRule="auto"/>
        <w:ind w:left="284" w:hanging="284"/>
        <w:jc w:val="both"/>
        <w:rPr>
          <w:rFonts w:cs="Arial"/>
        </w:rPr>
      </w:pPr>
      <w:r w:rsidRPr="00501B8B">
        <w:rPr>
          <w:rFonts w:cs="Arial"/>
        </w:rPr>
        <w:t>logistics and manufacturing</w:t>
      </w:r>
    </w:p>
    <w:p w:rsidR="003256E2" w:rsidRPr="00501B8B" w:rsidRDefault="003256E2" w:rsidP="002C6678">
      <w:pPr>
        <w:pStyle w:val="ListParagraph"/>
        <w:spacing w:line="360" w:lineRule="auto"/>
        <w:ind w:left="0"/>
        <w:jc w:val="both"/>
        <w:rPr>
          <w:rFonts w:cs="Arial"/>
        </w:rPr>
      </w:pPr>
    </w:p>
    <w:p w:rsidR="003256E2" w:rsidRPr="00501B8B" w:rsidRDefault="003256E2" w:rsidP="002C6678">
      <w:pPr>
        <w:pStyle w:val="ListParagraph"/>
        <w:spacing w:line="360" w:lineRule="auto"/>
        <w:ind w:left="0"/>
        <w:jc w:val="both"/>
        <w:rPr>
          <w:rFonts w:cs="Arial"/>
        </w:rPr>
      </w:pPr>
      <w:r w:rsidRPr="00501B8B">
        <w:rPr>
          <w:rFonts w:cs="Arial"/>
        </w:rPr>
        <w:t>With its new campaign, The Future of Skills 2028</w:t>
      </w:r>
      <w:r w:rsidRPr="00501B8B">
        <w:rPr>
          <w:rStyle w:val="FootnoteReference"/>
          <w:rFonts w:cs="Arial"/>
        </w:rPr>
        <w:footnoteReference w:id="18"/>
      </w:r>
      <w:r w:rsidRPr="00501B8B">
        <w:rPr>
          <w:rFonts w:cs="Arial"/>
        </w:rPr>
        <w:t>, the Greater Manchester Chamber of Commerce wants to not only gather the best knowledge available but, most importantly, get the various stakeholders to listen to each other and view the system as a whole, working together to adapt to the changing needs of business. In this way, the aim is to find solutions to ensure that the availability of skills in ten years’ time matches up to the expectations of business and the aspirations of local people and workers.</w:t>
      </w:r>
    </w:p>
    <w:p w:rsidR="003256E2" w:rsidRPr="00501B8B" w:rsidRDefault="003256E2" w:rsidP="002C6678">
      <w:pPr>
        <w:pStyle w:val="ListParagraph"/>
        <w:spacing w:line="360" w:lineRule="auto"/>
        <w:ind w:left="0"/>
        <w:jc w:val="both"/>
        <w:rPr>
          <w:rFonts w:cs="Arial"/>
        </w:rPr>
      </w:pPr>
    </w:p>
    <w:p w:rsidR="003256E2" w:rsidRPr="00501B8B" w:rsidRDefault="003256E2" w:rsidP="002C6678">
      <w:pPr>
        <w:spacing w:line="360" w:lineRule="auto"/>
        <w:jc w:val="both"/>
        <w:rPr>
          <w:rFonts w:cs="Arial"/>
        </w:rPr>
      </w:pPr>
      <w:r w:rsidRPr="00501B8B">
        <w:rPr>
          <w:rFonts w:eastAsia="Calibri" w:cs="Arial"/>
        </w:rPr>
        <w:lastRenderedPageBreak/>
        <w:t>Local people and growth industries need to be brought together in a structured way if the people, especially those from disadvantaged communities, are to be equipped for employment or entrepreneurship, and an even more unequal economy and society is to be avoided.</w:t>
      </w:r>
    </w:p>
    <w:p w:rsidR="003256E2" w:rsidRPr="00501B8B" w:rsidRDefault="003256E2" w:rsidP="002C6678">
      <w:pPr>
        <w:spacing w:line="360" w:lineRule="auto"/>
        <w:contextualSpacing/>
        <w:rPr>
          <w:rFonts w:cs="Arial"/>
          <w:u w:val="single"/>
        </w:rPr>
      </w:pPr>
    </w:p>
    <w:p w:rsidR="003256E2" w:rsidRPr="00501B8B" w:rsidRDefault="003256E2" w:rsidP="002C6678">
      <w:pPr>
        <w:spacing w:line="360" w:lineRule="auto"/>
        <w:contextualSpacing/>
        <w:jc w:val="both"/>
        <w:rPr>
          <w:rFonts w:cs="Arial"/>
        </w:rPr>
      </w:pPr>
      <w:r w:rsidRPr="00501B8B">
        <w:rPr>
          <w:rFonts w:cs="Arial"/>
        </w:rPr>
        <w:t xml:space="preserve">The Mayor of Greater Manchester has made work/life readiness one of his four main priorities. </w:t>
      </w:r>
      <w:r w:rsidRPr="00501B8B">
        <w:rPr>
          <w:rFonts w:cs="Arial"/>
          <w:i/>
        </w:rPr>
        <w:t>Our People, Our Place. The Greater Manchester Strategy</w:t>
      </w:r>
      <w:r w:rsidRPr="00501B8B">
        <w:rPr>
          <w:rStyle w:val="FootnoteReference"/>
          <w:rFonts w:cs="Arial"/>
        </w:rPr>
        <w:footnoteReference w:id="19"/>
      </w:r>
      <w:r w:rsidRPr="00501B8B">
        <w:rPr>
          <w:rFonts w:cs="Arial"/>
        </w:rPr>
        <w:t xml:space="preserve"> has as a priority ‘young people equipped for life’, with the ambition that </w:t>
      </w:r>
      <w:r w:rsidRPr="00501B8B">
        <w:rPr>
          <w:rFonts w:cs="Arial"/>
          <w:i/>
        </w:rPr>
        <w:t>“</w:t>
      </w:r>
      <w:r w:rsidRPr="00501B8B">
        <w:rPr>
          <w:rFonts w:eastAsia="Calibri" w:cs="Arial"/>
          <w:i/>
        </w:rPr>
        <w:t xml:space="preserve">All our young people will successfully transition out of secondary school </w:t>
      </w:r>
      <w:r w:rsidRPr="00501B8B">
        <w:rPr>
          <w:rFonts w:eastAsia="Calibri" w:cs="Arial"/>
          <w:i/>
        </w:rPr>
        <w:lastRenderedPageBreak/>
        <w:t>life ready, equipped for work and life-long learning</w:t>
      </w:r>
      <w:r w:rsidRPr="00501B8B">
        <w:rPr>
          <w:rFonts w:cs="Arial"/>
          <w:i/>
        </w:rPr>
        <w:t xml:space="preserve">.” </w:t>
      </w:r>
      <w:r w:rsidRPr="00501B8B">
        <w:rPr>
          <w:rFonts w:cs="Arial"/>
        </w:rPr>
        <w:t>It includes this statement:</w:t>
      </w:r>
    </w:p>
    <w:p w:rsidR="003256E2" w:rsidRPr="00501B8B" w:rsidRDefault="003256E2" w:rsidP="002C6678">
      <w:pPr>
        <w:spacing w:line="360" w:lineRule="auto"/>
        <w:contextualSpacing/>
        <w:jc w:val="both"/>
        <w:rPr>
          <w:rFonts w:cs="Arial"/>
          <w:i/>
        </w:rPr>
      </w:pPr>
    </w:p>
    <w:p w:rsidR="003256E2" w:rsidRPr="00501B8B" w:rsidRDefault="003256E2" w:rsidP="002C6678">
      <w:pPr>
        <w:spacing w:line="360" w:lineRule="auto"/>
        <w:contextualSpacing/>
        <w:jc w:val="both"/>
        <w:rPr>
          <w:rFonts w:cs="Arial"/>
          <w:i/>
        </w:rPr>
      </w:pPr>
      <w:r w:rsidRPr="00501B8B">
        <w:rPr>
          <w:rFonts w:cs="Arial"/>
          <w:i/>
        </w:rPr>
        <w:t xml:space="preserve">“We need to ensure that there is a clear pathway for all young people to follow to reach their full potential. This will mean working in a more integrated manner between educational institutions, business, local authorities and residents. Schools, colleges and training providers need to prepare people for the world of work; this will mean that the current focus on qualifications needs to be enhanced with the core competencies required to succeed in the workplace. School curricula need to be enriched by experience of the world of work, including providing all young people with encounters with business through work placements, business mentoring or real life business projects. We will work with schools and </w:t>
      </w:r>
      <w:r w:rsidRPr="00501B8B">
        <w:rPr>
          <w:rFonts w:cs="Arial"/>
          <w:i/>
        </w:rPr>
        <w:lastRenderedPageBreak/>
        <w:t>businesses to develop the best approach to delivering this in Greater Manchester.”</w:t>
      </w:r>
    </w:p>
    <w:p w:rsidR="003256E2" w:rsidRPr="00501B8B" w:rsidRDefault="003256E2" w:rsidP="002C6678">
      <w:pPr>
        <w:spacing w:line="360" w:lineRule="auto"/>
        <w:rPr>
          <w:rFonts w:cs="Arial"/>
          <w:i/>
          <w:u w:val="single"/>
        </w:rPr>
      </w:pPr>
    </w:p>
    <w:p w:rsidR="00D15F19" w:rsidRDefault="003256E2" w:rsidP="002C6678">
      <w:pPr>
        <w:spacing w:line="360" w:lineRule="auto"/>
        <w:jc w:val="both"/>
        <w:rPr>
          <w:rFonts w:cs="Arial"/>
          <w:bCs/>
          <w:i/>
        </w:rPr>
      </w:pPr>
      <w:r w:rsidRPr="00501B8B">
        <w:rPr>
          <w:rFonts w:cs="Arial"/>
          <w:i/>
        </w:rPr>
        <w:t>The Salford Employment and Skills Strategy 2017–2020</w:t>
      </w:r>
      <w:r w:rsidRPr="00501B8B">
        <w:rPr>
          <w:rStyle w:val="FootnoteReference"/>
          <w:rFonts w:cs="Arial"/>
          <w:i/>
        </w:rPr>
        <w:footnoteReference w:id="20"/>
      </w:r>
      <w:r w:rsidRPr="00501B8B">
        <w:rPr>
          <w:rFonts w:cs="Arial"/>
          <w:i/>
        </w:rPr>
        <w:t>, o</w:t>
      </w:r>
      <w:r w:rsidRPr="00501B8B">
        <w:rPr>
          <w:rFonts w:cs="Arial"/>
        </w:rPr>
        <w:t xml:space="preserve">ne of the three strategic priorities in this strategy is: </w:t>
      </w:r>
      <w:r w:rsidRPr="00501B8B">
        <w:rPr>
          <w:rFonts w:cs="Arial"/>
          <w:i/>
        </w:rPr>
        <w:t>y</w:t>
      </w:r>
      <w:r w:rsidRPr="00501B8B">
        <w:rPr>
          <w:rFonts w:cs="Arial"/>
          <w:bCs/>
          <w:i/>
        </w:rPr>
        <w:t>oung people achieving and progressing in education and work.</w:t>
      </w:r>
    </w:p>
    <w:p w:rsidR="00D15F19" w:rsidRPr="005B6524" w:rsidRDefault="00D15F19" w:rsidP="005B6524">
      <w:pPr>
        <w:rPr>
          <w:rFonts w:cs="Arial"/>
          <w:bCs/>
        </w:rPr>
      </w:pPr>
      <w:r>
        <w:rPr>
          <w:rFonts w:cs="Arial"/>
          <w:bCs/>
        </w:rPr>
        <w:br w:type="page"/>
      </w:r>
      <w:r w:rsidRPr="00501B8B">
        <w:rPr>
          <w:rFonts w:cs="Arial"/>
          <w:b/>
        </w:rPr>
        <w:lastRenderedPageBreak/>
        <w:t xml:space="preserve">Appendix </w:t>
      </w:r>
      <w:r>
        <w:rPr>
          <w:rFonts w:cs="Arial"/>
          <w:b/>
        </w:rPr>
        <w:t>2</w:t>
      </w:r>
    </w:p>
    <w:p w:rsidR="00D15F19" w:rsidRPr="00501B8B" w:rsidRDefault="00D15F19" w:rsidP="00D15F19">
      <w:pPr>
        <w:spacing w:line="360" w:lineRule="auto"/>
        <w:rPr>
          <w:rFonts w:cs="Arial"/>
          <w:b/>
        </w:rPr>
      </w:pPr>
    </w:p>
    <w:p w:rsidR="00D15F19" w:rsidRPr="00501B8B" w:rsidRDefault="00D15F19" w:rsidP="00D15F19">
      <w:pPr>
        <w:spacing w:line="360" w:lineRule="auto"/>
        <w:rPr>
          <w:rFonts w:cs="Arial"/>
          <w:b/>
        </w:rPr>
      </w:pPr>
      <w:r>
        <w:rPr>
          <w:rFonts w:cs="Arial"/>
          <w:b/>
        </w:rPr>
        <w:t>Anti-Social Behaviour Figures</w:t>
      </w:r>
    </w:p>
    <w:p w:rsidR="00D15F19" w:rsidRPr="00501B8B" w:rsidRDefault="00D15F19" w:rsidP="00D15F19">
      <w:pPr>
        <w:spacing w:line="360" w:lineRule="auto"/>
        <w:rPr>
          <w:rFonts w:cs="Arial"/>
        </w:rPr>
      </w:pPr>
    </w:p>
    <w:p w:rsidR="00D15F19" w:rsidRDefault="00D15F19" w:rsidP="00D15F19">
      <w:pPr>
        <w:spacing w:line="360" w:lineRule="auto"/>
        <w:jc w:val="both"/>
        <w:rPr>
          <w:rFonts w:cs="Arial"/>
        </w:rPr>
      </w:pPr>
      <w:r>
        <w:rPr>
          <w:rFonts w:cs="Arial"/>
        </w:rPr>
        <w:t xml:space="preserve">Issues surrounding ASB and public order in LH have tended to be around the district centre. There has been a partnership activity around the centre and in recent months has experienced less incidents. </w:t>
      </w:r>
    </w:p>
    <w:p w:rsidR="00D15F19" w:rsidRPr="00D15F19" w:rsidRDefault="00FA0C58" w:rsidP="00D15F19">
      <w:pPr>
        <w:spacing w:line="360" w:lineRule="auto"/>
        <w:jc w:val="both"/>
        <w:rPr>
          <w:rFonts w:cs="Arial"/>
        </w:rPr>
      </w:pPr>
      <w:r>
        <w:rPr>
          <w:rFonts w:cs="Arial"/>
        </w:rPr>
        <w:t xml:space="preserve"> </w:t>
      </w:r>
      <w:r w:rsidR="00D15F19">
        <w:rPr>
          <w:rFonts w:cs="Arial"/>
        </w:rPr>
        <w:t xml:space="preserve">Although this data is not specifically related to ASB among young people, the ASB figures for LH are displayed in the table below, for April to July 2018, in comparison to 2017 and the previous two financial years. It also displays public order as coding has changed and some offences which were coded as ASB are now classed as public order. Therefore there are decreases in ASB but increases in public order. </w:t>
      </w:r>
    </w:p>
    <w:tbl>
      <w:tblPr>
        <w:tblpPr w:leftFromText="180" w:rightFromText="180" w:vertAnchor="page" w:horzAnchor="margin" w:tblpY="6661"/>
        <w:tblW w:w="7928" w:type="dxa"/>
        <w:tblCellMar>
          <w:left w:w="0" w:type="dxa"/>
          <w:right w:w="0" w:type="dxa"/>
        </w:tblCellMar>
        <w:tblLook w:val="04A0" w:firstRow="1" w:lastRow="0" w:firstColumn="1" w:lastColumn="0" w:noHBand="0" w:noVBand="1"/>
      </w:tblPr>
      <w:tblGrid>
        <w:gridCol w:w="2140"/>
        <w:gridCol w:w="992"/>
        <w:gridCol w:w="709"/>
        <w:gridCol w:w="708"/>
        <w:gridCol w:w="709"/>
        <w:gridCol w:w="709"/>
        <w:gridCol w:w="1138"/>
        <w:gridCol w:w="823"/>
      </w:tblGrid>
      <w:tr w:rsidR="00FA0C58" w:rsidRPr="008F0D4B" w:rsidTr="00FA0C58">
        <w:trPr>
          <w:trHeight w:val="360"/>
        </w:trPr>
        <w:tc>
          <w:tcPr>
            <w:tcW w:w="7928" w:type="dxa"/>
            <w:gridSpan w:val="8"/>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rPr>
                <w:rFonts w:cs="Arial"/>
                <w:b/>
                <w:bCs/>
                <w:sz w:val="20"/>
                <w:szCs w:val="20"/>
              </w:rPr>
            </w:pPr>
            <w:r>
              <w:rPr>
                <w:rFonts w:cs="Arial"/>
                <w:b/>
                <w:bCs/>
                <w:sz w:val="20"/>
                <w:szCs w:val="20"/>
              </w:rPr>
              <w:lastRenderedPageBreak/>
              <w:t>Anti-Social Behaviour</w:t>
            </w:r>
          </w:p>
        </w:tc>
      </w:tr>
      <w:tr w:rsidR="00FA0C58" w:rsidRPr="008F0D4B" w:rsidTr="00FA0C58">
        <w:trPr>
          <w:trHeight w:val="360"/>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rPr>
                <w:rFonts w:cs="Arial"/>
                <w:bCs/>
                <w:color w:val="0000FF"/>
                <w:sz w:val="20"/>
                <w:szCs w:val="20"/>
              </w:rPr>
            </w:pPr>
            <w:r w:rsidRPr="008F0D4B">
              <w:rPr>
                <w:rFonts w:cs="Arial"/>
                <w:bCs/>
                <w:color w:val="0000FF"/>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rPr>
                <w:rFonts w:cs="Arial"/>
                <w:bCs/>
                <w:color w:val="FF0000"/>
                <w:sz w:val="20"/>
                <w:szCs w:val="20"/>
              </w:rPr>
            </w:pPr>
            <w:r w:rsidRPr="008F0D4B">
              <w:rPr>
                <w:rFonts w:cs="Arial"/>
                <w:bCs/>
                <w:color w:val="FF0000"/>
                <w:sz w:val="20"/>
                <w:szCs w:val="20"/>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Apr</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May</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Jun</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Jul</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Total</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w:t>
            </w:r>
          </w:p>
        </w:tc>
      </w:tr>
      <w:tr w:rsidR="00FA0C58" w:rsidRPr="008F0D4B" w:rsidTr="00FA0C58">
        <w:trPr>
          <w:trHeight w:val="360"/>
        </w:trPr>
        <w:tc>
          <w:tcPr>
            <w:tcW w:w="21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8F0D4B" w:rsidRDefault="00FA0C58" w:rsidP="00FA0C58">
            <w:pPr>
              <w:rPr>
                <w:rFonts w:cs="Arial"/>
                <w:bCs/>
                <w:sz w:val="20"/>
                <w:szCs w:val="20"/>
              </w:rPr>
            </w:pPr>
            <w:r w:rsidRPr="008F0D4B">
              <w:rPr>
                <w:rFonts w:cs="Arial"/>
                <w:bCs/>
                <w:sz w:val="20"/>
                <w:szCs w:val="20"/>
              </w:rPr>
              <w:t>Little Hulton</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2017/18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Pr>
                <w:rFonts w:cs="Arial"/>
                <w:bCs/>
                <w:sz w:val="20"/>
                <w:szCs w:val="20"/>
              </w:rPr>
              <w:t>7</w:t>
            </w:r>
            <w:r w:rsidRPr="008F0D4B">
              <w:rPr>
                <w:rFonts w:cs="Arial"/>
                <w:bCs/>
                <w:sz w:val="20"/>
                <w:szCs w:val="20"/>
              </w:rPr>
              <w:t>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51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44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34</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205</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p>
        </w:tc>
      </w:tr>
      <w:tr w:rsidR="00FA0C58" w:rsidRPr="008F0D4B" w:rsidTr="00FA0C58">
        <w:trPr>
          <w:trHeight w:val="360"/>
        </w:trPr>
        <w:tc>
          <w:tcPr>
            <w:tcW w:w="2140" w:type="dxa"/>
            <w:vMerge/>
            <w:tcBorders>
              <w:top w:val="nil"/>
              <w:left w:val="single" w:sz="8" w:space="0" w:color="auto"/>
              <w:bottom w:val="single" w:sz="8" w:space="0" w:color="000000"/>
              <w:right w:val="single" w:sz="8" w:space="0" w:color="auto"/>
            </w:tcBorders>
            <w:vAlign w:val="center"/>
            <w:hideMark/>
          </w:tcPr>
          <w:p w:rsidR="00FA0C58" w:rsidRPr="008F0D4B" w:rsidRDefault="00FA0C58" w:rsidP="00FA0C58">
            <w:pPr>
              <w:rPr>
                <w:rFonts w:eastAsiaTheme="minorHAnsi" w:cs="Arial"/>
                <w:bCs/>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2018/19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Pr>
                <w:rFonts w:cs="Arial"/>
                <w:bCs/>
                <w:sz w:val="20"/>
                <w:szCs w:val="20"/>
              </w:rPr>
              <w:t>27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43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24</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119</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FA0C58" w:rsidRDefault="00FA0C58" w:rsidP="00FA0C58">
            <w:pPr>
              <w:jc w:val="center"/>
              <w:rPr>
                <w:rFonts w:cs="Arial"/>
                <w:b/>
                <w:bCs/>
                <w:color w:val="FF0000"/>
                <w:sz w:val="20"/>
                <w:szCs w:val="20"/>
              </w:rPr>
            </w:pPr>
            <w:r w:rsidRPr="00FA0C58">
              <w:rPr>
                <w:rFonts w:cs="Arial"/>
                <w:b/>
                <w:bCs/>
                <w:color w:val="00B050"/>
                <w:sz w:val="20"/>
                <w:szCs w:val="20"/>
              </w:rPr>
              <w:t>-42</w:t>
            </w:r>
          </w:p>
        </w:tc>
      </w:tr>
      <w:tr w:rsidR="00FA0C58" w:rsidRPr="008F0D4B" w:rsidTr="00FA0C58">
        <w:trPr>
          <w:trHeight w:val="360"/>
        </w:trPr>
        <w:tc>
          <w:tcPr>
            <w:tcW w:w="21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8F0D4B" w:rsidRDefault="00FA0C58" w:rsidP="00FA0C58">
            <w:pPr>
              <w:rPr>
                <w:rFonts w:cs="Arial"/>
                <w:bCs/>
                <w:sz w:val="20"/>
                <w:szCs w:val="20"/>
              </w:rPr>
            </w:pPr>
            <w:r w:rsidRPr="008F0D4B">
              <w:rPr>
                <w:rFonts w:cs="Arial"/>
                <w:bCs/>
                <w:sz w:val="20"/>
                <w:szCs w:val="20"/>
              </w:rPr>
              <w:t>Walkden North</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2017/18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Pr>
                <w:rFonts w:cs="Arial"/>
                <w:bCs/>
                <w:sz w:val="20"/>
                <w:szCs w:val="20"/>
              </w:rPr>
              <w:t>61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39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35</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161</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p>
        </w:tc>
      </w:tr>
      <w:tr w:rsidR="00FA0C58" w:rsidRPr="008F0D4B" w:rsidTr="00FA0C58">
        <w:trPr>
          <w:trHeight w:val="360"/>
        </w:trPr>
        <w:tc>
          <w:tcPr>
            <w:tcW w:w="2140" w:type="dxa"/>
            <w:vMerge/>
            <w:tcBorders>
              <w:top w:val="nil"/>
              <w:left w:val="single" w:sz="8" w:space="0" w:color="auto"/>
              <w:bottom w:val="single" w:sz="8" w:space="0" w:color="000000"/>
              <w:right w:val="single" w:sz="8" w:space="0" w:color="auto"/>
            </w:tcBorders>
            <w:vAlign w:val="center"/>
            <w:hideMark/>
          </w:tcPr>
          <w:p w:rsidR="00FA0C58" w:rsidRPr="008F0D4B" w:rsidRDefault="00FA0C58" w:rsidP="00FA0C58">
            <w:pPr>
              <w:rPr>
                <w:rFonts w:eastAsiaTheme="minorHAnsi" w:cs="Arial"/>
                <w:bCs/>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2018/19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Pr>
                <w:rFonts w:cs="Arial"/>
                <w:bCs/>
                <w:sz w:val="20"/>
                <w:szCs w:val="20"/>
              </w:rPr>
              <w:t>19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37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21</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103</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FA0C58" w:rsidRDefault="00FA0C58" w:rsidP="00FA0C58">
            <w:pPr>
              <w:jc w:val="center"/>
              <w:rPr>
                <w:rFonts w:cs="Arial"/>
                <w:b/>
                <w:bCs/>
                <w:color w:val="00B050"/>
                <w:sz w:val="20"/>
                <w:szCs w:val="20"/>
              </w:rPr>
            </w:pPr>
            <w:r>
              <w:rPr>
                <w:rFonts w:cs="Arial"/>
                <w:b/>
                <w:bCs/>
                <w:color w:val="00B050"/>
                <w:sz w:val="20"/>
                <w:szCs w:val="20"/>
              </w:rPr>
              <w:t>-36</w:t>
            </w:r>
          </w:p>
        </w:tc>
      </w:tr>
      <w:tr w:rsidR="00FA0C58" w:rsidRPr="008F0D4B" w:rsidTr="00FA0C58">
        <w:trPr>
          <w:trHeight w:val="360"/>
        </w:trPr>
        <w:tc>
          <w:tcPr>
            <w:tcW w:w="21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8F0D4B" w:rsidRDefault="00FA0C58" w:rsidP="00FA0C58">
            <w:pPr>
              <w:rPr>
                <w:rFonts w:cs="Arial"/>
                <w:bCs/>
                <w:sz w:val="20"/>
                <w:szCs w:val="20"/>
              </w:rPr>
            </w:pPr>
            <w:r w:rsidRPr="008F0D4B">
              <w:rPr>
                <w:rFonts w:cs="Arial"/>
                <w:bCs/>
                <w:sz w:val="20"/>
                <w:szCs w:val="20"/>
              </w:rPr>
              <w:t>Walkden South</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2017/18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Pr>
                <w:rFonts w:cs="Arial"/>
                <w:bCs/>
                <w:sz w:val="20"/>
                <w:szCs w:val="20"/>
              </w:rPr>
              <w:t>27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15</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90</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FA0C58" w:rsidRDefault="00FA0C58" w:rsidP="00FA0C58">
            <w:pPr>
              <w:jc w:val="center"/>
              <w:rPr>
                <w:rFonts w:cs="Arial"/>
                <w:bCs/>
                <w:color w:val="00B050"/>
                <w:sz w:val="20"/>
                <w:szCs w:val="20"/>
              </w:rPr>
            </w:pPr>
          </w:p>
        </w:tc>
      </w:tr>
      <w:tr w:rsidR="00FA0C58" w:rsidRPr="008F0D4B" w:rsidTr="00FA0C58">
        <w:trPr>
          <w:trHeight w:val="360"/>
        </w:trPr>
        <w:tc>
          <w:tcPr>
            <w:tcW w:w="2140" w:type="dxa"/>
            <w:vMerge/>
            <w:tcBorders>
              <w:top w:val="nil"/>
              <w:left w:val="single" w:sz="8" w:space="0" w:color="auto"/>
              <w:bottom w:val="single" w:sz="8" w:space="0" w:color="000000"/>
              <w:right w:val="single" w:sz="8" w:space="0" w:color="auto"/>
            </w:tcBorders>
            <w:vAlign w:val="center"/>
            <w:hideMark/>
          </w:tcPr>
          <w:p w:rsidR="00FA0C58" w:rsidRPr="008F0D4B" w:rsidRDefault="00FA0C58" w:rsidP="00FA0C58">
            <w:pPr>
              <w:rPr>
                <w:rFonts w:eastAsiaTheme="minorHAnsi" w:cs="Arial"/>
                <w:bCs/>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2018/19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Pr>
                <w:rFonts w:cs="Arial"/>
                <w:bCs/>
                <w:sz w:val="20"/>
                <w:szCs w:val="20"/>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17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23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14</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8F0D4B" w:rsidRDefault="00FA0C58" w:rsidP="00FA0C58">
            <w:pPr>
              <w:jc w:val="center"/>
              <w:rPr>
                <w:rFonts w:cs="Arial"/>
                <w:bCs/>
                <w:sz w:val="20"/>
                <w:szCs w:val="20"/>
              </w:rPr>
            </w:pPr>
            <w:r>
              <w:rPr>
                <w:rFonts w:cs="Arial"/>
                <w:bCs/>
                <w:sz w:val="20"/>
                <w:szCs w:val="20"/>
              </w:rPr>
              <w:t>66</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0C58" w:rsidRPr="00FA0C58" w:rsidRDefault="00FA0C58" w:rsidP="00FA0C58">
            <w:pPr>
              <w:jc w:val="center"/>
              <w:rPr>
                <w:rFonts w:cs="Arial"/>
                <w:b/>
                <w:bCs/>
                <w:color w:val="00B050"/>
                <w:sz w:val="20"/>
                <w:szCs w:val="20"/>
              </w:rPr>
            </w:pPr>
            <w:r>
              <w:rPr>
                <w:rFonts w:cs="Arial"/>
                <w:b/>
                <w:bCs/>
                <w:color w:val="00B050"/>
                <w:sz w:val="20"/>
                <w:szCs w:val="20"/>
              </w:rPr>
              <w:t>-27</w:t>
            </w:r>
          </w:p>
        </w:tc>
      </w:tr>
    </w:tbl>
    <w:p w:rsidR="00D15F19" w:rsidRDefault="00D15F19" w:rsidP="00D15F19">
      <w:pPr>
        <w:rPr>
          <w:rFonts w:ascii="Calibri" w:eastAsiaTheme="minorHAnsi" w:hAnsi="Calibri" w:cs="Calibri"/>
          <w:sz w:val="22"/>
          <w:szCs w:val="22"/>
        </w:rPr>
      </w:pPr>
    </w:p>
    <w:p w:rsidR="00D15F19" w:rsidRDefault="00D15F19" w:rsidP="00D15F19"/>
    <w:p w:rsidR="00D15F19" w:rsidRDefault="00D15F19" w:rsidP="00D15F19"/>
    <w:p w:rsidR="00D15F19" w:rsidRDefault="00D15F19" w:rsidP="00D15F19">
      <w:pPr>
        <w:rPr>
          <w:rFonts w:ascii="Calibri" w:eastAsiaTheme="minorHAnsi" w:hAnsi="Calibri" w:cs="Calibri"/>
          <w:sz w:val="22"/>
          <w:szCs w:val="22"/>
        </w:rPr>
      </w:pPr>
    </w:p>
    <w:p w:rsidR="00D15F19" w:rsidRDefault="00D15F19" w:rsidP="00D15F19"/>
    <w:p w:rsidR="00D15F19" w:rsidRDefault="00D15F19"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tbl>
      <w:tblPr>
        <w:tblpPr w:leftFromText="180" w:rightFromText="180" w:vertAnchor="page" w:horzAnchor="margin" w:tblpY="10111"/>
        <w:tblW w:w="7928" w:type="dxa"/>
        <w:tblCellMar>
          <w:left w:w="0" w:type="dxa"/>
          <w:right w:w="0" w:type="dxa"/>
        </w:tblCellMar>
        <w:tblLook w:val="04A0" w:firstRow="1" w:lastRow="0" w:firstColumn="1" w:lastColumn="0" w:noHBand="0" w:noVBand="1"/>
      </w:tblPr>
      <w:tblGrid>
        <w:gridCol w:w="2140"/>
        <w:gridCol w:w="992"/>
        <w:gridCol w:w="709"/>
        <w:gridCol w:w="708"/>
        <w:gridCol w:w="709"/>
        <w:gridCol w:w="709"/>
        <w:gridCol w:w="1138"/>
        <w:gridCol w:w="823"/>
      </w:tblGrid>
      <w:tr w:rsidR="00FA0C58" w:rsidRPr="008F0D4B" w:rsidTr="00FA0C58">
        <w:trPr>
          <w:trHeight w:val="360"/>
        </w:trPr>
        <w:tc>
          <w:tcPr>
            <w:tcW w:w="7928" w:type="dxa"/>
            <w:gridSpan w:val="8"/>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rPr>
                <w:rFonts w:cs="Arial"/>
                <w:b/>
                <w:bCs/>
                <w:sz w:val="20"/>
                <w:szCs w:val="20"/>
              </w:rPr>
            </w:pPr>
            <w:r w:rsidRPr="00FA0C58">
              <w:rPr>
                <w:rFonts w:cs="Arial"/>
                <w:b/>
                <w:bCs/>
                <w:sz w:val="20"/>
                <w:szCs w:val="20"/>
              </w:rPr>
              <w:t>Public Order Offences</w:t>
            </w:r>
          </w:p>
        </w:tc>
      </w:tr>
      <w:tr w:rsidR="00FA0C58" w:rsidRPr="008F0D4B" w:rsidTr="00FA0C58">
        <w:trPr>
          <w:trHeight w:val="360"/>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rPr>
                <w:rFonts w:cs="Arial"/>
                <w:bCs/>
                <w:color w:val="0000FF"/>
                <w:sz w:val="20"/>
                <w:szCs w:val="20"/>
              </w:rPr>
            </w:pPr>
            <w:r w:rsidRPr="008F0D4B">
              <w:rPr>
                <w:rFonts w:cs="Arial"/>
                <w:bCs/>
                <w:color w:val="0000FF"/>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rPr>
                <w:rFonts w:cs="Arial"/>
                <w:bCs/>
                <w:color w:val="FF0000"/>
                <w:sz w:val="20"/>
                <w:szCs w:val="20"/>
              </w:rPr>
            </w:pPr>
            <w:r w:rsidRPr="008F0D4B">
              <w:rPr>
                <w:rFonts w:cs="Arial"/>
                <w:bCs/>
                <w:color w:val="FF0000"/>
                <w:sz w:val="20"/>
                <w:szCs w:val="20"/>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Apr</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May</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Jun</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Jul</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Total</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w:t>
            </w:r>
          </w:p>
        </w:tc>
      </w:tr>
      <w:tr w:rsidR="00FA0C58" w:rsidRPr="008F0D4B" w:rsidTr="00FA0C58">
        <w:trPr>
          <w:trHeight w:val="360"/>
        </w:trPr>
        <w:tc>
          <w:tcPr>
            <w:tcW w:w="21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8F0D4B" w:rsidRDefault="00FA0C58" w:rsidP="00FA0C58">
            <w:pPr>
              <w:rPr>
                <w:rFonts w:cs="Arial"/>
                <w:bCs/>
                <w:sz w:val="20"/>
                <w:szCs w:val="20"/>
              </w:rPr>
            </w:pPr>
            <w:r w:rsidRPr="008F0D4B">
              <w:rPr>
                <w:rFonts w:cs="Arial"/>
                <w:bCs/>
                <w:sz w:val="20"/>
                <w:szCs w:val="20"/>
              </w:rPr>
              <w:t>Little Hulton</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2017/18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22</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74</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 </w:t>
            </w:r>
          </w:p>
        </w:tc>
      </w:tr>
      <w:tr w:rsidR="00FA0C58" w:rsidRPr="008F0D4B" w:rsidTr="00FA0C58">
        <w:trPr>
          <w:trHeight w:val="360"/>
        </w:trPr>
        <w:tc>
          <w:tcPr>
            <w:tcW w:w="2140" w:type="dxa"/>
            <w:vMerge/>
            <w:tcBorders>
              <w:top w:val="nil"/>
              <w:left w:val="single" w:sz="8" w:space="0" w:color="auto"/>
              <w:bottom w:val="single" w:sz="8" w:space="0" w:color="000000"/>
              <w:right w:val="single" w:sz="8" w:space="0" w:color="auto"/>
            </w:tcBorders>
            <w:vAlign w:val="center"/>
            <w:hideMark/>
          </w:tcPr>
          <w:p w:rsidR="00FA0C58" w:rsidRPr="008F0D4B" w:rsidRDefault="00FA0C58" w:rsidP="00FA0C58">
            <w:pPr>
              <w:rPr>
                <w:rFonts w:eastAsiaTheme="minorHAnsi" w:cs="Arial"/>
                <w:bCs/>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2018/19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31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31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29</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119</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FF0000"/>
                <w:sz w:val="20"/>
                <w:szCs w:val="20"/>
              </w:rPr>
            </w:pPr>
            <w:r w:rsidRPr="00FA0C58">
              <w:rPr>
                <w:rFonts w:cs="Arial"/>
                <w:b/>
                <w:bCs/>
                <w:color w:val="FF0000"/>
                <w:sz w:val="20"/>
                <w:szCs w:val="20"/>
              </w:rPr>
              <w:t>61</w:t>
            </w:r>
          </w:p>
        </w:tc>
      </w:tr>
      <w:tr w:rsidR="00FA0C58" w:rsidRPr="008F0D4B" w:rsidTr="00FA0C58">
        <w:trPr>
          <w:trHeight w:val="360"/>
        </w:trPr>
        <w:tc>
          <w:tcPr>
            <w:tcW w:w="21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8F0D4B" w:rsidRDefault="00FA0C58" w:rsidP="00FA0C58">
            <w:pPr>
              <w:rPr>
                <w:rFonts w:cs="Arial"/>
                <w:bCs/>
                <w:sz w:val="20"/>
                <w:szCs w:val="20"/>
              </w:rPr>
            </w:pPr>
            <w:r w:rsidRPr="008F0D4B">
              <w:rPr>
                <w:rFonts w:cs="Arial"/>
                <w:bCs/>
                <w:sz w:val="20"/>
                <w:szCs w:val="20"/>
              </w:rPr>
              <w:t>Walkden North</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2017/18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31</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106</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 </w:t>
            </w:r>
          </w:p>
        </w:tc>
      </w:tr>
      <w:tr w:rsidR="00FA0C58" w:rsidRPr="008F0D4B" w:rsidTr="00FA0C58">
        <w:trPr>
          <w:trHeight w:val="360"/>
        </w:trPr>
        <w:tc>
          <w:tcPr>
            <w:tcW w:w="2140" w:type="dxa"/>
            <w:vMerge/>
            <w:tcBorders>
              <w:top w:val="nil"/>
              <w:left w:val="single" w:sz="8" w:space="0" w:color="auto"/>
              <w:bottom w:val="single" w:sz="8" w:space="0" w:color="000000"/>
              <w:right w:val="single" w:sz="8" w:space="0" w:color="auto"/>
            </w:tcBorders>
            <w:vAlign w:val="center"/>
            <w:hideMark/>
          </w:tcPr>
          <w:p w:rsidR="00FA0C58" w:rsidRPr="008F0D4B" w:rsidRDefault="00FA0C58" w:rsidP="00FA0C58">
            <w:pPr>
              <w:rPr>
                <w:rFonts w:eastAsiaTheme="minorHAnsi" w:cs="Arial"/>
                <w:bCs/>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2018/19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28</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99</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00B050"/>
                <w:sz w:val="20"/>
                <w:szCs w:val="20"/>
              </w:rPr>
            </w:pPr>
            <w:r w:rsidRPr="00FA0C58">
              <w:rPr>
                <w:rFonts w:cs="Arial"/>
                <w:b/>
                <w:bCs/>
                <w:color w:val="00B050"/>
                <w:sz w:val="20"/>
                <w:szCs w:val="20"/>
              </w:rPr>
              <w:t>-7</w:t>
            </w:r>
          </w:p>
        </w:tc>
      </w:tr>
      <w:tr w:rsidR="00FA0C58" w:rsidRPr="008F0D4B" w:rsidTr="00FA0C58">
        <w:trPr>
          <w:trHeight w:val="360"/>
        </w:trPr>
        <w:tc>
          <w:tcPr>
            <w:tcW w:w="21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8F0D4B" w:rsidRDefault="00FA0C58" w:rsidP="00FA0C58">
            <w:pPr>
              <w:rPr>
                <w:rFonts w:cs="Arial"/>
                <w:bCs/>
                <w:sz w:val="20"/>
                <w:szCs w:val="20"/>
              </w:rPr>
            </w:pPr>
            <w:r w:rsidRPr="008F0D4B">
              <w:rPr>
                <w:rFonts w:cs="Arial"/>
                <w:bCs/>
                <w:sz w:val="20"/>
                <w:szCs w:val="20"/>
              </w:rPr>
              <w:t>Walkden South</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2017/18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19</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50</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color w:val="00B050"/>
                <w:sz w:val="20"/>
                <w:szCs w:val="20"/>
              </w:rPr>
            </w:pPr>
            <w:r w:rsidRPr="00FA0C58">
              <w:rPr>
                <w:rFonts w:cs="Arial"/>
                <w:bCs/>
                <w:color w:val="00B050"/>
                <w:sz w:val="20"/>
                <w:szCs w:val="20"/>
              </w:rPr>
              <w:t> </w:t>
            </w:r>
          </w:p>
        </w:tc>
      </w:tr>
      <w:tr w:rsidR="00FA0C58" w:rsidRPr="008F0D4B" w:rsidTr="00FA0C58">
        <w:trPr>
          <w:trHeight w:val="360"/>
        </w:trPr>
        <w:tc>
          <w:tcPr>
            <w:tcW w:w="2140" w:type="dxa"/>
            <w:vMerge/>
            <w:tcBorders>
              <w:top w:val="nil"/>
              <w:left w:val="single" w:sz="8" w:space="0" w:color="auto"/>
              <w:bottom w:val="single" w:sz="8" w:space="0" w:color="000000"/>
              <w:right w:val="single" w:sz="8" w:space="0" w:color="auto"/>
            </w:tcBorders>
            <w:vAlign w:val="center"/>
            <w:hideMark/>
          </w:tcPr>
          <w:p w:rsidR="00FA0C58" w:rsidRPr="008F0D4B" w:rsidRDefault="00FA0C58" w:rsidP="00FA0C58">
            <w:pPr>
              <w:rPr>
                <w:rFonts w:eastAsiaTheme="minorHAnsi" w:cs="Arial"/>
                <w:bCs/>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2018/19</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12</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8F0D4B" w:rsidRDefault="00FA0C58" w:rsidP="00FA0C58">
            <w:pPr>
              <w:jc w:val="center"/>
              <w:rPr>
                <w:rFonts w:cs="Arial"/>
                <w:bCs/>
                <w:sz w:val="20"/>
                <w:szCs w:val="20"/>
              </w:rPr>
            </w:pPr>
            <w:r w:rsidRPr="008F0D4B">
              <w:rPr>
                <w:rFonts w:cs="Arial"/>
                <w:bCs/>
                <w:sz w:val="20"/>
                <w:szCs w:val="20"/>
              </w:rPr>
              <w:t>37</w:t>
            </w:r>
          </w:p>
        </w:tc>
        <w:tc>
          <w:tcPr>
            <w:tcW w:w="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00B050"/>
                <w:sz w:val="20"/>
                <w:szCs w:val="20"/>
              </w:rPr>
            </w:pPr>
            <w:r w:rsidRPr="00FA0C58">
              <w:rPr>
                <w:rFonts w:cs="Arial"/>
                <w:b/>
                <w:bCs/>
                <w:color w:val="00B050"/>
                <w:sz w:val="20"/>
                <w:szCs w:val="20"/>
              </w:rPr>
              <w:t>-26</w:t>
            </w:r>
          </w:p>
        </w:tc>
      </w:tr>
    </w:tbl>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D15F19" w:rsidRDefault="00D15F19" w:rsidP="00D15F19">
      <w:pPr>
        <w:spacing w:line="360" w:lineRule="auto"/>
        <w:jc w:val="both"/>
        <w:rPr>
          <w:rFonts w:cs="Arial"/>
        </w:rPr>
      </w:pPr>
    </w:p>
    <w:p w:rsidR="00D15F19" w:rsidRDefault="00D15F19"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p w:rsidR="00FA0C58" w:rsidRDefault="00FA0C58" w:rsidP="00D15F19">
      <w:pPr>
        <w:spacing w:line="360" w:lineRule="auto"/>
        <w:jc w:val="both"/>
        <w:rPr>
          <w:rFonts w:cs="Arial"/>
        </w:rPr>
      </w:pPr>
    </w:p>
    <w:tbl>
      <w:tblPr>
        <w:tblpPr w:leftFromText="180" w:rightFromText="180" w:vertAnchor="page" w:horzAnchor="page" w:tblpX="136" w:tblpY="1006"/>
        <w:tblW w:w="11756" w:type="dxa"/>
        <w:tblCellMar>
          <w:left w:w="0" w:type="dxa"/>
          <w:right w:w="0" w:type="dxa"/>
        </w:tblCellMar>
        <w:tblLook w:val="04A0" w:firstRow="1" w:lastRow="0" w:firstColumn="1" w:lastColumn="0" w:noHBand="0" w:noVBand="1"/>
      </w:tblPr>
      <w:tblGrid>
        <w:gridCol w:w="1607"/>
        <w:gridCol w:w="939"/>
        <w:gridCol w:w="662"/>
        <w:gridCol w:w="662"/>
        <w:gridCol w:w="662"/>
        <w:gridCol w:w="661"/>
        <w:gridCol w:w="662"/>
        <w:gridCol w:w="662"/>
        <w:gridCol w:w="662"/>
        <w:gridCol w:w="661"/>
        <w:gridCol w:w="662"/>
        <w:gridCol w:w="662"/>
        <w:gridCol w:w="662"/>
        <w:gridCol w:w="652"/>
        <w:gridCol w:w="694"/>
        <w:gridCol w:w="584"/>
      </w:tblGrid>
      <w:tr w:rsidR="00FA0C58" w:rsidRPr="00FA0C58" w:rsidTr="00FA0C58">
        <w:trPr>
          <w:trHeight w:val="361"/>
        </w:trPr>
        <w:tc>
          <w:tcPr>
            <w:tcW w:w="11756" w:type="dxa"/>
            <w:gridSpan w:val="1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rPr>
                <w:rFonts w:cs="Arial"/>
                <w:b/>
                <w:bCs/>
                <w:sz w:val="20"/>
                <w:szCs w:val="20"/>
              </w:rPr>
            </w:pPr>
            <w:r w:rsidRPr="00FA0C58">
              <w:rPr>
                <w:rFonts w:cs="Arial"/>
                <w:b/>
                <w:bCs/>
                <w:sz w:val="20"/>
                <w:szCs w:val="20"/>
              </w:rPr>
              <w:lastRenderedPageBreak/>
              <w:t>Anti Social Behaviour</w:t>
            </w:r>
          </w:p>
        </w:tc>
      </w:tr>
      <w:tr w:rsidR="00FA0C58" w:rsidRPr="00FA0C58" w:rsidTr="00FA0C58">
        <w:trPr>
          <w:trHeight w:val="361"/>
        </w:trPr>
        <w:tc>
          <w:tcPr>
            <w:tcW w:w="16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rPr>
                <w:rFonts w:cs="Arial"/>
                <w:bCs/>
                <w:sz w:val="20"/>
                <w:szCs w:val="20"/>
              </w:rPr>
            </w:pPr>
            <w:r w:rsidRPr="00FA0C58">
              <w:rPr>
                <w:rFonts w:cs="Arial"/>
                <w:bCs/>
                <w:sz w:val="20"/>
                <w:szCs w:val="20"/>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rPr>
                <w:rFonts w:cs="Arial"/>
                <w:bCs/>
                <w:sz w:val="20"/>
                <w:szCs w:val="20"/>
              </w:rPr>
            </w:pPr>
            <w:r w:rsidRPr="00FA0C58">
              <w:rPr>
                <w:rFonts w:cs="Arial"/>
                <w:bCs/>
                <w:sz w:val="20"/>
                <w:szCs w:val="20"/>
              </w:rPr>
              <w:t> </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Apr</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May</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Jun</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Jul</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Aug</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Sep</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Oct</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Nov</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Dec</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Jan</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Feb</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Mar</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Total</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sz w:val="20"/>
                <w:szCs w:val="20"/>
              </w:rPr>
            </w:pPr>
            <w:r w:rsidRPr="00FA0C58">
              <w:rPr>
                <w:rFonts w:cs="Arial"/>
                <w:b/>
                <w:bCs/>
                <w:sz w:val="20"/>
                <w:szCs w:val="20"/>
              </w:rPr>
              <w:t>%</w:t>
            </w:r>
          </w:p>
        </w:tc>
      </w:tr>
      <w:tr w:rsidR="00FA0C58" w:rsidRPr="00FA0C58" w:rsidTr="00FA0C58">
        <w:trPr>
          <w:trHeight w:val="361"/>
        </w:trPr>
        <w:tc>
          <w:tcPr>
            <w:tcW w:w="160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FA0C58" w:rsidRDefault="00FA0C58" w:rsidP="00FA0C58">
            <w:pPr>
              <w:rPr>
                <w:rFonts w:cs="Arial"/>
                <w:bCs/>
                <w:sz w:val="20"/>
                <w:szCs w:val="20"/>
              </w:rPr>
            </w:pPr>
            <w:r w:rsidRPr="00FA0C58">
              <w:rPr>
                <w:rFonts w:cs="Arial"/>
                <w:bCs/>
                <w:sz w:val="20"/>
                <w:szCs w:val="20"/>
              </w:rPr>
              <w:t>Little Hulton</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2016/17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70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58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73</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63</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71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64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58</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37</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47</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666</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sz w:val="20"/>
                <w:szCs w:val="20"/>
              </w:rPr>
            </w:pPr>
            <w:r w:rsidRPr="00FA0C58">
              <w:rPr>
                <w:rFonts w:cs="Arial"/>
                <w:b/>
                <w:bCs/>
                <w:sz w:val="20"/>
                <w:szCs w:val="20"/>
              </w:rPr>
              <w:t> </w:t>
            </w:r>
          </w:p>
        </w:tc>
      </w:tr>
      <w:tr w:rsidR="00FA0C58" w:rsidRPr="00FA0C58" w:rsidTr="00FA0C58">
        <w:trPr>
          <w:trHeight w:val="361"/>
        </w:trPr>
        <w:tc>
          <w:tcPr>
            <w:tcW w:w="1607" w:type="dxa"/>
            <w:vMerge/>
            <w:tcBorders>
              <w:top w:val="nil"/>
              <w:left w:val="single" w:sz="8" w:space="0" w:color="auto"/>
              <w:bottom w:val="single" w:sz="8" w:space="0" w:color="000000"/>
              <w:right w:val="single" w:sz="8" w:space="0" w:color="auto"/>
            </w:tcBorders>
            <w:vAlign w:val="center"/>
            <w:hideMark/>
          </w:tcPr>
          <w:p w:rsidR="00FA0C58" w:rsidRPr="00FA0C58" w:rsidRDefault="00FA0C58" w:rsidP="00FA0C58">
            <w:pPr>
              <w:rPr>
                <w:rFonts w:eastAsiaTheme="minorHAnsi" w:cs="Arial"/>
                <w:bCs/>
                <w:sz w:val="20"/>
                <w:szCs w:val="20"/>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2017/18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76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51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42</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39</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43</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19</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21</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446</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00B050"/>
                <w:sz w:val="20"/>
                <w:szCs w:val="20"/>
              </w:rPr>
            </w:pPr>
            <w:r w:rsidRPr="00FA0C58">
              <w:rPr>
                <w:rFonts w:cs="Arial"/>
                <w:b/>
                <w:bCs/>
                <w:color w:val="00B050"/>
                <w:sz w:val="20"/>
                <w:szCs w:val="20"/>
              </w:rPr>
              <w:t>-33</w:t>
            </w:r>
          </w:p>
        </w:tc>
      </w:tr>
      <w:tr w:rsidR="00FA0C58" w:rsidRPr="00FA0C58" w:rsidTr="00FA0C58">
        <w:trPr>
          <w:trHeight w:val="361"/>
        </w:trPr>
        <w:tc>
          <w:tcPr>
            <w:tcW w:w="160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FA0C58" w:rsidRDefault="00FA0C58" w:rsidP="00FA0C58">
            <w:pPr>
              <w:rPr>
                <w:rFonts w:cs="Arial"/>
                <w:bCs/>
                <w:sz w:val="20"/>
                <w:szCs w:val="20"/>
              </w:rPr>
            </w:pPr>
            <w:r w:rsidRPr="00FA0C58">
              <w:rPr>
                <w:rFonts w:cs="Arial"/>
                <w:bCs/>
                <w:sz w:val="20"/>
                <w:szCs w:val="20"/>
              </w:rPr>
              <w:t>Walkden North</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2016/17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53</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52</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43</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65</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54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39</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48</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571</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00B050"/>
                <w:sz w:val="20"/>
                <w:szCs w:val="20"/>
              </w:rPr>
            </w:pPr>
            <w:r w:rsidRPr="00FA0C58">
              <w:rPr>
                <w:rFonts w:cs="Arial"/>
                <w:b/>
                <w:bCs/>
                <w:color w:val="00B050"/>
                <w:sz w:val="20"/>
                <w:szCs w:val="20"/>
              </w:rPr>
              <w:t> </w:t>
            </w:r>
          </w:p>
        </w:tc>
      </w:tr>
      <w:tr w:rsidR="00FA0C58" w:rsidRPr="00FA0C58" w:rsidTr="00FA0C58">
        <w:trPr>
          <w:trHeight w:val="361"/>
        </w:trPr>
        <w:tc>
          <w:tcPr>
            <w:tcW w:w="1607" w:type="dxa"/>
            <w:vMerge/>
            <w:tcBorders>
              <w:top w:val="nil"/>
              <w:left w:val="single" w:sz="8" w:space="0" w:color="auto"/>
              <w:bottom w:val="single" w:sz="8" w:space="0" w:color="000000"/>
              <w:right w:val="single" w:sz="8" w:space="0" w:color="auto"/>
            </w:tcBorders>
            <w:vAlign w:val="center"/>
            <w:hideMark/>
          </w:tcPr>
          <w:p w:rsidR="00FA0C58" w:rsidRPr="00FA0C58" w:rsidRDefault="00FA0C58" w:rsidP="00FA0C58">
            <w:pPr>
              <w:rPr>
                <w:rFonts w:eastAsiaTheme="minorHAnsi" w:cs="Arial"/>
                <w:bCs/>
                <w:sz w:val="20"/>
                <w:szCs w:val="20"/>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2017/18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61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23</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33</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16</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34</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420</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00B050"/>
                <w:sz w:val="20"/>
                <w:szCs w:val="20"/>
              </w:rPr>
            </w:pPr>
            <w:r w:rsidRPr="00FA0C58">
              <w:rPr>
                <w:rFonts w:cs="Arial"/>
                <w:b/>
                <w:bCs/>
                <w:color w:val="00B050"/>
                <w:sz w:val="20"/>
                <w:szCs w:val="20"/>
              </w:rPr>
              <w:t>-26</w:t>
            </w:r>
          </w:p>
        </w:tc>
      </w:tr>
      <w:tr w:rsidR="00FA0C58" w:rsidRPr="00FA0C58" w:rsidTr="00FA0C58">
        <w:trPr>
          <w:trHeight w:val="361"/>
        </w:trPr>
        <w:tc>
          <w:tcPr>
            <w:tcW w:w="160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FA0C58" w:rsidRPr="00FA0C58" w:rsidRDefault="00FA0C58" w:rsidP="00FA0C58">
            <w:pPr>
              <w:rPr>
                <w:rFonts w:cs="Arial"/>
                <w:bCs/>
                <w:sz w:val="20"/>
                <w:szCs w:val="20"/>
              </w:rPr>
            </w:pPr>
            <w:r w:rsidRPr="00FA0C58">
              <w:rPr>
                <w:rFonts w:cs="Arial"/>
                <w:bCs/>
                <w:sz w:val="20"/>
                <w:szCs w:val="20"/>
              </w:rPr>
              <w:t>Walkden South</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2016/17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23</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14</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22</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249</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00B050"/>
                <w:sz w:val="20"/>
                <w:szCs w:val="20"/>
              </w:rPr>
            </w:pPr>
            <w:r w:rsidRPr="00FA0C58">
              <w:rPr>
                <w:rFonts w:cs="Arial"/>
                <w:b/>
                <w:bCs/>
                <w:color w:val="00B050"/>
                <w:sz w:val="20"/>
                <w:szCs w:val="20"/>
              </w:rPr>
              <w:t> </w:t>
            </w:r>
          </w:p>
        </w:tc>
      </w:tr>
      <w:tr w:rsidR="00FA0C58" w:rsidRPr="00FA0C58" w:rsidTr="00FA0C58">
        <w:trPr>
          <w:trHeight w:val="361"/>
        </w:trPr>
        <w:tc>
          <w:tcPr>
            <w:tcW w:w="1607" w:type="dxa"/>
            <w:vMerge/>
            <w:tcBorders>
              <w:top w:val="nil"/>
              <w:left w:val="single" w:sz="8" w:space="0" w:color="auto"/>
              <w:bottom w:val="single" w:sz="8" w:space="0" w:color="000000"/>
              <w:right w:val="single" w:sz="8" w:space="0" w:color="auto"/>
            </w:tcBorders>
            <w:vAlign w:val="center"/>
            <w:hideMark/>
          </w:tcPr>
          <w:p w:rsidR="00FA0C58" w:rsidRPr="00FA0C58" w:rsidRDefault="00FA0C58" w:rsidP="00FA0C58">
            <w:pPr>
              <w:rPr>
                <w:rFonts w:eastAsiaTheme="minorHAnsi" w:cs="Arial"/>
                <w:bCs/>
                <w:sz w:val="20"/>
                <w:szCs w:val="20"/>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2017/18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21</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22</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18</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14</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Cs/>
                <w:sz w:val="20"/>
                <w:szCs w:val="20"/>
              </w:rPr>
            </w:pPr>
            <w:r w:rsidRPr="00FA0C58">
              <w:rPr>
                <w:rFonts w:cs="Arial"/>
                <w:bCs/>
                <w:sz w:val="20"/>
                <w:szCs w:val="20"/>
              </w:rPr>
              <w:t>210</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0C58" w:rsidRPr="00FA0C58" w:rsidRDefault="00FA0C58" w:rsidP="00FA0C58">
            <w:pPr>
              <w:jc w:val="center"/>
              <w:rPr>
                <w:rFonts w:cs="Arial"/>
                <w:b/>
                <w:bCs/>
                <w:color w:val="00B050"/>
                <w:sz w:val="20"/>
                <w:szCs w:val="20"/>
              </w:rPr>
            </w:pPr>
            <w:r w:rsidRPr="00FA0C58">
              <w:rPr>
                <w:rFonts w:cs="Arial"/>
                <w:b/>
                <w:bCs/>
                <w:color w:val="00B050"/>
                <w:sz w:val="20"/>
                <w:szCs w:val="20"/>
              </w:rPr>
              <w:t>-16</w:t>
            </w:r>
          </w:p>
        </w:tc>
      </w:tr>
    </w:tbl>
    <w:tbl>
      <w:tblPr>
        <w:tblpPr w:leftFromText="180" w:rightFromText="180" w:vertAnchor="page" w:horzAnchor="page" w:tblpX="151" w:tblpY="4381"/>
        <w:tblW w:w="11756" w:type="dxa"/>
        <w:tblCellMar>
          <w:left w:w="0" w:type="dxa"/>
          <w:right w:w="0" w:type="dxa"/>
        </w:tblCellMar>
        <w:tblLook w:val="04A0" w:firstRow="1" w:lastRow="0" w:firstColumn="1" w:lastColumn="0" w:noHBand="0" w:noVBand="1"/>
      </w:tblPr>
      <w:tblGrid>
        <w:gridCol w:w="1607"/>
        <w:gridCol w:w="1084"/>
        <w:gridCol w:w="662"/>
        <w:gridCol w:w="662"/>
        <w:gridCol w:w="662"/>
        <w:gridCol w:w="661"/>
        <w:gridCol w:w="662"/>
        <w:gridCol w:w="662"/>
        <w:gridCol w:w="662"/>
        <w:gridCol w:w="661"/>
        <w:gridCol w:w="662"/>
        <w:gridCol w:w="662"/>
        <w:gridCol w:w="662"/>
        <w:gridCol w:w="652"/>
        <w:gridCol w:w="694"/>
        <w:gridCol w:w="617"/>
      </w:tblGrid>
      <w:tr w:rsidR="003B7FAB" w:rsidRPr="00FA0C58" w:rsidTr="003B7FAB">
        <w:trPr>
          <w:trHeight w:val="361"/>
        </w:trPr>
        <w:tc>
          <w:tcPr>
            <w:tcW w:w="11756" w:type="dxa"/>
            <w:gridSpan w:val="1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rPr>
                <w:rFonts w:cs="Arial"/>
                <w:b/>
                <w:bCs/>
                <w:sz w:val="20"/>
                <w:szCs w:val="20"/>
              </w:rPr>
            </w:pPr>
            <w:r>
              <w:rPr>
                <w:rFonts w:cs="Arial"/>
                <w:b/>
                <w:bCs/>
                <w:sz w:val="20"/>
                <w:szCs w:val="20"/>
              </w:rPr>
              <w:t>Public Order Offences</w:t>
            </w:r>
          </w:p>
        </w:tc>
      </w:tr>
      <w:tr w:rsidR="003B7FAB" w:rsidRPr="00FA0C58" w:rsidTr="003B7FAB">
        <w:trPr>
          <w:trHeight w:val="361"/>
        </w:trPr>
        <w:tc>
          <w:tcPr>
            <w:tcW w:w="16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rPr>
                <w:rFonts w:cs="Arial"/>
                <w:bCs/>
                <w:sz w:val="20"/>
                <w:szCs w:val="20"/>
              </w:rPr>
            </w:pPr>
            <w:r w:rsidRPr="00FA0C58">
              <w:rPr>
                <w:rFonts w:cs="Arial"/>
                <w:bCs/>
                <w:sz w:val="20"/>
                <w:szCs w:val="20"/>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rPr>
                <w:rFonts w:cs="Arial"/>
                <w:bCs/>
                <w:sz w:val="20"/>
                <w:szCs w:val="20"/>
              </w:rPr>
            </w:pPr>
            <w:r w:rsidRPr="00FA0C58">
              <w:rPr>
                <w:rFonts w:cs="Arial"/>
                <w:bCs/>
                <w:sz w:val="20"/>
                <w:szCs w:val="20"/>
              </w:rPr>
              <w:t> </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Apr</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May</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Jun</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Jul</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Aug</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Sep</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Oct</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Nov</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Dec</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Jan</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Feb</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Mar</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Total</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
                <w:bCs/>
                <w:sz w:val="20"/>
                <w:szCs w:val="20"/>
              </w:rPr>
            </w:pPr>
            <w:r w:rsidRPr="00FA0C58">
              <w:rPr>
                <w:rFonts w:cs="Arial"/>
                <w:b/>
                <w:bCs/>
                <w:sz w:val="20"/>
                <w:szCs w:val="20"/>
              </w:rPr>
              <w:t>%</w:t>
            </w:r>
          </w:p>
        </w:tc>
      </w:tr>
      <w:tr w:rsidR="003B7FAB" w:rsidRPr="00FA0C58" w:rsidTr="003B7FAB">
        <w:trPr>
          <w:trHeight w:val="361"/>
        </w:trPr>
        <w:tc>
          <w:tcPr>
            <w:tcW w:w="160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3B7FAB" w:rsidRPr="00FA0C58" w:rsidRDefault="003B7FAB" w:rsidP="003B7FAB">
            <w:pPr>
              <w:rPr>
                <w:rFonts w:cs="Arial"/>
                <w:bCs/>
                <w:sz w:val="20"/>
                <w:szCs w:val="20"/>
              </w:rPr>
            </w:pPr>
            <w:r w:rsidRPr="00FA0C58">
              <w:rPr>
                <w:rFonts w:cs="Arial"/>
                <w:bCs/>
                <w:sz w:val="20"/>
                <w:szCs w:val="20"/>
              </w:rPr>
              <w:t>Little Hulton</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2016/17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8</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5</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8</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11</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95</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3B7FAB" w:rsidP="003B7FAB">
            <w:pPr>
              <w:jc w:val="center"/>
              <w:rPr>
                <w:rFonts w:cs="Arial"/>
                <w:b/>
                <w:bCs/>
                <w:sz w:val="20"/>
                <w:szCs w:val="20"/>
              </w:rPr>
            </w:pPr>
          </w:p>
        </w:tc>
      </w:tr>
      <w:tr w:rsidR="003B7FAB" w:rsidRPr="00FA0C58" w:rsidTr="003B7FAB">
        <w:trPr>
          <w:trHeight w:val="361"/>
        </w:trPr>
        <w:tc>
          <w:tcPr>
            <w:tcW w:w="1607" w:type="dxa"/>
            <w:vMerge/>
            <w:tcBorders>
              <w:top w:val="nil"/>
              <w:left w:val="single" w:sz="8" w:space="0" w:color="auto"/>
              <w:bottom w:val="single" w:sz="8" w:space="0" w:color="000000"/>
              <w:right w:val="single" w:sz="8" w:space="0" w:color="auto"/>
            </w:tcBorders>
            <w:vAlign w:val="center"/>
            <w:hideMark/>
          </w:tcPr>
          <w:p w:rsidR="003B7FAB" w:rsidRPr="00FA0C58" w:rsidRDefault="003B7FAB" w:rsidP="003B7FAB">
            <w:pPr>
              <w:rPr>
                <w:rFonts w:eastAsiaTheme="minorHAnsi" w:cs="Arial"/>
                <w:bCs/>
                <w:sz w:val="20"/>
                <w:szCs w:val="20"/>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2017/18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12</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24</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22</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25</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22</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45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19</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16</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282</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
                <w:bCs/>
                <w:color w:val="00B050"/>
                <w:sz w:val="20"/>
                <w:szCs w:val="20"/>
              </w:rPr>
            </w:pPr>
            <w:r w:rsidRPr="00BC34C7">
              <w:rPr>
                <w:rFonts w:cs="Arial"/>
                <w:b/>
                <w:bCs/>
                <w:color w:val="FF0000"/>
                <w:sz w:val="20"/>
                <w:szCs w:val="20"/>
              </w:rPr>
              <w:t>197</w:t>
            </w:r>
          </w:p>
        </w:tc>
      </w:tr>
      <w:tr w:rsidR="003B7FAB" w:rsidRPr="00FA0C58" w:rsidTr="003B7FAB">
        <w:trPr>
          <w:trHeight w:val="361"/>
        </w:trPr>
        <w:tc>
          <w:tcPr>
            <w:tcW w:w="160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3B7FAB" w:rsidRPr="00FA0C58" w:rsidRDefault="003B7FAB" w:rsidP="003B7FAB">
            <w:pPr>
              <w:rPr>
                <w:rFonts w:cs="Arial"/>
                <w:bCs/>
                <w:sz w:val="20"/>
                <w:szCs w:val="20"/>
              </w:rPr>
            </w:pPr>
            <w:r w:rsidRPr="00FA0C58">
              <w:rPr>
                <w:rFonts w:cs="Arial"/>
                <w:bCs/>
                <w:sz w:val="20"/>
                <w:szCs w:val="20"/>
              </w:rPr>
              <w:t>Walkden North</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2016/17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7</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8</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13</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19</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16</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124</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3B7FAB" w:rsidP="003B7FAB">
            <w:pPr>
              <w:jc w:val="center"/>
              <w:rPr>
                <w:rFonts w:cs="Arial"/>
                <w:b/>
                <w:bCs/>
                <w:color w:val="00B050"/>
                <w:sz w:val="20"/>
                <w:szCs w:val="20"/>
              </w:rPr>
            </w:pPr>
          </w:p>
        </w:tc>
      </w:tr>
      <w:tr w:rsidR="003B7FAB" w:rsidRPr="00FA0C58" w:rsidTr="003B7FAB">
        <w:trPr>
          <w:trHeight w:val="361"/>
        </w:trPr>
        <w:tc>
          <w:tcPr>
            <w:tcW w:w="1607" w:type="dxa"/>
            <w:vMerge/>
            <w:tcBorders>
              <w:top w:val="nil"/>
              <w:left w:val="single" w:sz="8" w:space="0" w:color="auto"/>
              <w:bottom w:val="single" w:sz="8" w:space="0" w:color="000000"/>
              <w:right w:val="single" w:sz="8" w:space="0" w:color="auto"/>
            </w:tcBorders>
            <w:vAlign w:val="center"/>
            <w:hideMark/>
          </w:tcPr>
          <w:p w:rsidR="003B7FAB" w:rsidRPr="00FA0C58" w:rsidRDefault="003B7FAB" w:rsidP="003B7FAB">
            <w:pPr>
              <w:rPr>
                <w:rFonts w:eastAsiaTheme="minorHAnsi" w:cs="Arial"/>
                <w:bCs/>
                <w:sz w:val="20"/>
                <w:szCs w:val="20"/>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2017/18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24</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24</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45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31</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23</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17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30</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28</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348</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BC34C7" w:rsidRDefault="00BC34C7" w:rsidP="003B7FAB">
            <w:pPr>
              <w:jc w:val="center"/>
              <w:rPr>
                <w:rFonts w:cs="Arial"/>
                <w:b/>
                <w:bCs/>
                <w:color w:val="FF0000"/>
                <w:sz w:val="20"/>
                <w:szCs w:val="20"/>
              </w:rPr>
            </w:pPr>
            <w:r w:rsidRPr="00BC34C7">
              <w:rPr>
                <w:rFonts w:cs="Arial"/>
                <w:b/>
                <w:bCs/>
                <w:color w:val="FF0000"/>
                <w:sz w:val="20"/>
                <w:szCs w:val="20"/>
              </w:rPr>
              <w:t>181</w:t>
            </w:r>
          </w:p>
        </w:tc>
      </w:tr>
      <w:tr w:rsidR="00C30F90" w:rsidTr="003B7FAB">
        <w:trPr>
          <w:trHeight w:val="361"/>
        </w:trPr>
        <w:tc>
          <w:tcPr>
            <w:tcW w:w="160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rsidR="003B7FAB" w:rsidRPr="00FA0C58" w:rsidRDefault="003B7FAB" w:rsidP="003B7FAB">
            <w:pPr>
              <w:rPr>
                <w:rFonts w:cs="Arial"/>
                <w:bCs/>
                <w:sz w:val="20"/>
                <w:szCs w:val="20"/>
              </w:rPr>
            </w:pPr>
            <w:r w:rsidRPr="00FA0C58">
              <w:rPr>
                <w:rFonts w:cs="Arial"/>
                <w:bCs/>
                <w:sz w:val="20"/>
                <w:szCs w:val="20"/>
              </w:rPr>
              <w:t>Walkden South</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7FAB" w:rsidRPr="00FA0C58" w:rsidRDefault="003B7FAB" w:rsidP="003B7FAB">
            <w:pPr>
              <w:jc w:val="center"/>
              <w:rPr>
                <w:rFonts w:cs="Arial"/>
                <w:bCs/>
                <w:sz w:val="20"/>
                <w:szCs w:val="20"/>
              </w:rPr>
            </w:pPr>
            <w:r w:rsidRPr="00FA0C58">
              <w:rPr>
                <w:rFonts w:cs="Arial"/>
                <w:bCs/>
                <w:sz w:val="20"/>
                <w:szCs w:val="20"/>
              </w:rPr>
              <w:t>2016/17</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2</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7FAB" w:rsidRPr="00FA0C58" w:rsidRDefault="00BC34C7" w:rsidP="003B7FAB">
            <w:pPr>
              <w:jc w:val="center"/>
              <w:rPr>
                <w:rFonts w:cs="Arial"/>
                <w:bCs/>
                <w:sz w:val="20"/>
                <w:szCs w:val="20"/>
              </w:rPr>
            </w:pPr>
            <w:r>
              <w:rPr>
                <w:rFonts w:cs="Arial"/>
                <w:bCs/>
                <w:sz w:val="20"/>
                <w:szCs w:val="20"/>
              </w:rPr>
              <w:t>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BC34C7" w:rsidP="003B7FAB">
            <w:pPr>
              <w:jc w:val="center"/>
            </w:pPr>
            <w:r>
              <w:rPr>
                <w:rFonts w:cs="Arial"/>
                <w:bCs/>
                <w:sz w:val="20"/>
                <w:szCs w:val="20"/>
              </w:rPr>
              <w:t>4</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3</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8</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8</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56</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p>
        </w:tc>
      </w:tr>
      <w:tr w:rsidR="00C30F90" w:rsidTr="003B7FAB">
        <w:trPr>
          <w:trHeight w:val="361"/>
        </w:trPr>
        <w:tc>
          <w:tcPr>
            <w:tcW w:w="1607" w:type="dxa"/>
            <w:vMerge/>
            <w:tcBorders>
              <w:top w:val="nil"/>
              <w:left w:val="single" w:sz="8" w:space="0" w:color="auto"/>
              <w:bottom w:val="single" w:sz="8" w:space="0" w:color="000000"/>
              <w:right w:val="single" w:sz="8" w:space="0" w:color="auto"/>
            </w:tcBorders>
            <w:vAlign w:val="center"/>
            <w:hideMark/>
          </w:tcPr>
          <w:p w:rsidR="00C30F90" w:rsidRDefault="00C30F90" w:rsidP="003B7FAB"/>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0F90" w:rsidRDefault="00C30F90" w:rsidP="003B7FAB">
            <w:pPr>
              <w:jc w:val="center"/>
            </w:pPr>
            <w:r>
              <w:t>2017/18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6</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10</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15</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11</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9</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16</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12</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8</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15</w:t>
            </w:r>
          </w:p>
        </w:tc>
        <w:tc>
          <w:tcPr>
            <w:tcW w:w="66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12</w:t>
            </w:r>
          </w:p>
        </w:tc>
        <w:tc>
          <w:tcPr>
            <w:tcW w:w="6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10</w:t>
            </w:r>
          </w:p>
        </w:tc>
        <w:tc>
          <w:tcPr>
            <w:tcW w:w="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143</w:t>
            </w:r>
          </w:p>
        </w:tc>
        <w:tc>
          <w:tcPr>
            <w:tcW w:w="58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30F90" w:rsidRDefault="00C30F90" w:rsidP="003B7FAB">
            <w:pPr>
              <w:jc w:val="center"/>
            </w:pPr>
            <w:r>
              <w:t>155</w:t>
            </w:r>
          </w:p>
        </w:tc>
      </w:tr>
    </w:tbl>
    <w:p w:rsidR="00C30F90" w:rsidRDefault="00C30F90" w:rsidP="00D15F19">
      <w:pPr>
        <w:spacing w:line="360" w:lineRule="auto"/>
        <w:jc w:val="both"/>
      </w:pPr>
    </w:p>
    <w:p w:rsidR="00C30F90" w:rsidRDefault="00C30F90" w:rsidP="00D15F19">
      <w:pPr>
        <w:spacing w:line="360" w:lineRule="auto"/>
        <w:jc w:val="both"/>
      </w:pPr>
    </w:p>
    <w:p w:rsidR="00D15F19" w:rsidRPr="00D15F19" w:rsidRDefault="00C30F90" w:rsidP="00D15F19">
      <w:pPr>
        <w:spacing w:line="360" w:lineRule="auto"/>
        <w:jc w:val="both"/>
        <w:rPr>
          <w:rFonts w:cs="Arial"/>
          <w:u w:val="single"/>
        </w:rPr>
      </w:pPr>
      <w:r>
        <w:t>Sourced by GMP BI System.</w:t>
      </w:r>
    </w:p>
    <w:sectPr w:rsidR="00D15F19" w:rsidRPr="00D15F19" w:rsidSect="0034403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91" w:rsidRDefault="00523991">
      <w:r>
        <w:separator/>
      </w:r>
    </w:p>
  </w:endnote>
  <w:endnote w:type="continuationSeparator" w:id="0">
    <w:p w:rsidR="00523991" w:rsidRDefault="0052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eueLTSt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lfax Medium">
    <w:altName w:val="Colfax Medium"/>
    <w:panose1 w:val="00000000000000000000"/>
    <w:charset w:val="00"/>
    <w:family w:val="swiss"/>
    <w:notTrueType/>
    <w:pitch w:val="default"/>
    <w:sig w:usb0="00000003" w:usb1="00000000" w:usb2="00000000" w:usb3="00000000" w:csb0="00000001" w:csb1="00000000"/>
  </w:font>
  <w:font w:name="Colfax Light">
    <w:altName w:val="Colfax Light"/>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61" w:rsidRDefault="00465361" w:rsidP="003D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361" w:rsidRDefault="00465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61" w:rsidRPr="003D6A7F" w:rsidRDefault="00465361" w:rsidP="003D6A7F">
    <w:pPr>
      <w:pStyle w:val="Footer"/>
      <w:framePr w:wrap="around" w:vAnchor="text" w:hAnchor="margin" w:xAlign="center" w:y="1"/>
      <w:rPr>
        <w:rStyle w:val="PageNumber"/>
        <w:rFonts w:ascii="Verdana" w:hAnsi="Verdana"/>
      </w:rPr>
    </w:pPr>
    <w:r w:rsidRPr="003D6A7F">
      <w:rPr>
        <w:rStyle w:val="PageNumber"/>
        <w:rFonts w:ascii="Verdana" w:hAnsi="Verdana"/>
      </w:rPr>
      <w:fldChar w:fldCharType="begin"/>
    </w:r>
    <w:r w:rsidRPr="003D6A7F">
      <w:rPr>
        <w:rStyle w:val="PageNumber"/>
        <w:rFonts w:ascii="Verdana" w:hAnsi="Verdana"/>
      </w:rPr>
      <w:instrText xml:space="preserve">PAGE  </w:instrText>
    </w:r>
    <w:r w:rsidRPr="003D6A7F">
      <w:rPr>
        <w:rStyle w:val="PageNumber"/>
        <w:rFonts w:ascii="Verdana" w:hAnsi="Verdana"/>
      </w:rPr>
      <w:fldChar w:fldCharType="separate"/>
    </w:r>
    <w:r w:rsidR="00543C27">
      <w:rPr>
        <w:rStyle w:val="PageNumber"/>
        <w:rFonts w:ascii="Verdana" w:hAnsi="Verdana"/>
        <w:noProof/>
      </w:rPr>
      <w:t>16</w:t>
    </w:r>
    <w:r w:rsidRPr="003D6A7F">
      <w:rPr>
        <w:rStyle w:val="PageNumber"/>
        <w:rFonts w:ascii="Verdana" w:hAnsi="Verdana"/>
      </w:rPr>
      <w:fldChar w:fldCharType="end"/>
    </w:r>
  </w:p>
  <w:p w:rsidR="00465361" w:rsidRPr="00305011" w:rsidRDefault="00465361" w:rsidP="00305011">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61" w:rsidRPr="00305011" w:rsidRDefault="00465361" w:rsidP="00527B3E">
    <w:pPr>
      <w:ind w:right="1418"/>
      <w:rPr>
        <w:rFonts w:ascii="Verdana" w:hAnsi="Verdana"/>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91" w:rsidRDefault="00523991">
      <w:r>
        <w:separator/>
      </w:r>
    </w:p>
  </w:footnote>
  <w:footnote w:type="continuationSeparator" w:id="0">
    <w:p w:rsidR="00523991" w:rsidRDefault="00523991">
      <w:r>
        <w:continuationSeparator/>
      </w:r>
    </w:p>
  </w:footnote>
  <w:footnote w:id="1">
    <w:p w:rsidR="00465361" w:rsidRDefault="00465361">
      <w:pPr>
        <w:pStyle w:val="FootnoteText"/>
      </w:pPr>
      <w:r>
        <w:t>Residents in the LA area, who’s EET activity is unknown</w:t>
      </w:r>
    </w:p>
  </w:footnote>
  <w:footnote w:id="2">
    <w:p w:rsidR="00465361" w:rsidRDefault="00465361">
      <w:pPr>
        <w:pStyle w:val="FootnoteText"/>
      </w:pPr>
      <w:r>
        <w:rPr>
          <w:rStyle w:val="FootnoteReference"/>
        </w:rPr>
        <w:footnoteRef/>
      </w:r>
      <w:r>
        <w:t xml:space="preserve"> </w:t>
      </w:r>
      <w:hyperlink r:id="rId1" w:history="1">
        <w:r w:rsidRPr="00BC21AF">
          <w:rPr>
            <w:rStyle w:val="Hyperlink"/>
          </w:rPr>
          <w:t>https://www.partnersinsalford.org/media/1232/employment_skills_strategy_2017-20.pdf</w:t>
        </w:r>
      </w:hyperlink>
      <w:r>
        <w:t xml:space="preserve"> </w:t>
      </w:r>
    </w:p>
  </w:footnote>
  <w:footnote w:id="3">
    <w:p w:rsidR="00465361" w:rsidRDefault="00465361" w:rsidP="000D6625">
      <w:pPr>
        <w:pStyle w:val="FootnoteText"/>
      </w:pPr>
      <w:r>
        <w:rPr>
          <w:rStyle w:val="FootnoteReference"/>
        </w:rPr>
        <w:footnoteRef/>
      </w:r>
      <w:r>
        <w:t xml:space="preserve"> </w:t>
      </w:r>
      <w:hyperlink r:id="rId2" w:history="1">
        <w:r w:rsidRPr="00BE1495">
          <w:rPr>
            <w:rStyle w:val="Hyperlink"/>
          </w:rPr>
          <w:t>Little Hulton Big Local Community Plan 2017 -2020.pdf</w:t>
        </w:r>
      </w:hyperlink>
    </w:p>
  </w:footnote>
  <w:footnote w:id="4">
    <w:p w:rsidR="00465361" w:rsidRPr="00BD579E" w:rsidRDefault="00465361" w:rsidP="00BD579E">
      <w:pPr>
        <w:tabs>
          <w:tab w:val="right" w:leader="dot" w:pos="9072"/>
        </w:tabs>
        <w:jc w:val="both"/>
        <w:rPr>
          <w:rFonts w:cs="Arial"/>
        </w:rPr>
      </w:pPr>
      <w:r>
        <w:rPr>
          <w:rStyle w:val="FootnoteReference"/>
        </w:rPr>
        <w:footnoteRef/>
      </w:r>
      <w:r>
        <w:t xml:space="preserve"> </w:t>
      </w:r>
      <w:r w:rsidRPr="00BD579E">
        <w:rPr>
          <w:rStyle w:val="firstline"/>
          <w:rFonts w:cs="Arial"/>
          <w:color w:val="333333"/>
          <w:sz w:val="20"/>
          <w:szCs w:val="20"/>
        </w:rPr>
        <w:t>All young people are under a duty to continue participating in education or training until at least their 18</w:t>
      </w:r>
      <w:r w:rsidRPr="00BD579E">
        <w:rPr>
          <w:rStyle w:val="firstline"/>
          <w:rFonts w:cs="Arial"/>
          <w:color w:val="333333"/>
          <w:sz w:val="20"/>
          <w:szCs w:val="20"/>
          <w:vertAlign w:val="superscript"/>
        </w:rPr>
        <w:t>th</w:t>
      </w:r>
      <w:r w:rsidRPr="00BD579E">
        <w:rPr>
          <w:rStyle w:val="firstline"/>
          <w:rFonts w:cs="Arial"/>
          <w:color w:val="333333"/>
          <w:sz w:val="20"/>
          <w:szCs w:val="20"/>
        </w:rPr>
        <w:t xml:space="preserve"> birthday. This applies to all young people born on or after 1 September 1997. Participation can include full-time education in school, college or training provider; full-time work or volunteering (over 20 hours) combined with part-time education or training leading to relevant, regulated qualifications; an apprenticeship, traineeship or supported internship.</w:t>
      </w:r>
    </w:p>
  </w:footnote>
  <w:footnote w:id="5">
    <w:p w:rsidR="00465361" w:rsidRDefault="00465361">
      <w:pPr>
        <w:pStyle w:val="FootnoteText"/>
      </w:pPr>
      <w:r>
        <w:rPr>
          <w:rStyle w:val="FootnoteReference"/>
        </w:rPr>
        <w:footnoteRef/>
      </w:r>
      <w:r>
        <w:t xml:space="preserve"> Work-related experience is defined </w:t>
      </w:r>
      <w:r w:rsidRPr="00E7017A">
        <w:t xml:space="preserve">as </w:t>
      </w:r>
      <w:r w:rsidRPr="00E7017A">
        <w:rPr>
          <w:rFonts w:cs="Arial"/>
        </w:rPr>
        <w:t>any meaningful contact with a business</w:t>
      </w:r>
      <w:r>
        <w:rPr>
          <w:rFonts w:cs="Arial"/>
        </w:rPr>
        <w:t>/employer</w:t>
      </w:r>
      <w:r w:rsidRPr="00E7017A">
        <w:rPr>
          <w:rFonts w:cs="Arial"/>
        </w:rPr>
        <w:t xml:space="preserve">, such as a visit, to learn about a specific job role or industry. </w:t>
      </w:r>
    </w:p>
  </w:footnote>
  <w:footnote w:id="6">
    <w:p w:rsidR="00465361" w:rsidRDefault="00465361" w:rsidP="0090676B">
      <w:pPr>
        <w:pStyle w:val="FootnoteText"/>
        <w:jc w:val="both"/>
      </w:pPr>
      <w:r>
        <w:rPr>
          <w:rStyle w:val="FootnoteReference"/>
        </w:rPr>
        <w:footnoteRef/>
      </w:r>
      <w:r>
        <w:t xml:space="preserve"> KS4 is year group 10 and 11 (ages 14-16).</w:t>
      </w:r>
    </w:p>
  </w:footnote>
  <w:footnote w:id="7">
    <w:p w:rsidR="00465361" w:rsidRPr="00161CF0" w:rsidRDefault="00465361" w:rsidP="00393870">
      <w:pPr>
        <w:pStyle w:val="FootnoteText"/>
        <w:jc w:val="both"/>
        <w:rPr>
          <w:rFonts w:cs="Arial"/>
        </w:rPr>
      </w:pPr>
      <w:r w:rsidRPr="00161CF0">
        <w:rPr>
          <w:rStyle w:val="FootnoteReference"/>
          <w:rFonts w:cs="Arial"/>
        </w:rPr>
        <w:footnoteRef/>
      </w:r>
      <w:r w:rsidRPr="00161CF0">
        <w:rPr>
          <w:rFonts w:cs="Arial"/>
        </w:rPr>
        <w:t xml:space="preserve"> Confirmation of NEET status must be obtained from the Connexions service.</w:t>
      </w:r>
    </w:p>
  </w:footnote>
  <w:footnote w:id="8">
    <w:p w:rsidR="00465361" w:rsidRDefault="00465361" w:rsidP="0090676B">
      <w:pPr>
        <w:pStyle w:val="FootnoteText"/>
        <w:jc w:val="both"/>
      </w:pPr>
      <w:r>
        <w:rPr>
          <w:rStyle w:val="FootnoteReference"/>
        </w:rPr>
        <w:footnoteRef/>
      </w:r>
      <w:r>
        <w:t xml:space="preserve"> </w:t>
      </w:r>
      <w:r w:rsidRPr="0090676B">
        <w:t>Young people identified at school as being at risk of NEET through the Risk Of NEET Indicator (RONI).</w:t>
      </w:r>
    </w:p>
  </w:footnote>
  <w:footnote w:id="9">
    <w:p w:rsidR="00465361" w:rsidRDefault="00465361">
      <w:pPr>
        <w:pStyle w:val="FootnoteText"/>
      </w:pPr>
      <w:r>
        <w:rPr>
          <w:rStyle w:val="FootnoteReference"/>
        </w:rPr>
        <w:footnoteRef/>
      </w:r>
      <w:r>
        <w:t xml:space="preserve"> Young people on-roll at a Little Hulton school are eligible for the programme, regardless of their home address. This includes pupils on-roll who are accessing Alternative Provision. </w:t>
      </w:r>
    </w:p>
  </w:footnote>
  <w:footnote w:id="10">
    <w:p w:rsidR="00465361" w:rsidRDefault="00465361" w:rsidP="003D1CC3">
      <w:pPr>
        <w:pStyle w:val="FootnoteText"/>
        <w:jc w:val="both"/>
      </w:pPr>
      <w:r>
        <w:t xml:space="preserve"> The provider will be required to have a suitable mechanism and methodology for demonstrating progress and development of “softer-skills”. The Council recommends the use of the Workstar, although other mechanism will be accepted, subject to agreement with the commissioner.</w:t>
      </w:r>
    </w:p>
  </w:footnote>
  <w:footnote w:id="11">
    <w:p w:rsidR="00465361" w:rsidRDefault="00465361" w:rsidP="003D436D">
      <w:pPr>
        <w:pStyle w:val="FootnoteText"/>
        <w:jc w:val="both"/>
      </w:pPr>
      <w:r>
        <w:t>Individual baseline data from schools will be taken into account to assess ability to reach Level 1. Where an individual has shown ability to achieve Level 2, they will be supported to achieve this.</w:t>
      </w:r>
    </w:p>
  </w:footnote>
  <w:footnote w:id="12">
    <w:p w:rsidR="00465361" w:rsidRDefault="00465361" w:rsidP="007D3B75">
      <w:pPr>
        <w:pStyle w:val="FootnoteText"/>
        <w:jc w:val="both"/>
      </w:pPr>
      <w:r>
        <w:t xml:space="preserve"> A positive destination is defined as an outcome, which results in the young person no longer being classified as NEET. This may include participation on a study programme, apprenticeship, traineeship, job (with or without accredited training) or volunteering opportunity for more than 20 hours per week. Re-engagement activity, including personal development opportunities, will also be considered as a positive activity if compliant with DfE requirements. See   HYPERLINK "https://www.gov.uk/government/uploads/system/uploads/attachment_data/file/483795/NCCIS_Management__Information_Requirement_2016_to_2017.pdf" https://www.gov.uk/government/uploads/system/uploads/attachment_data/file/483795/NCCIS_Management__Information_Requirement_2016_to_2017.pdf for further information.</w:t>
      </w:r>
    </w:p>
  </w:footnote>
  <w:footnote w:id="13">
    <w:p w:rsidR="00465361" w:rsidRDefault="00465361" w:rsidP="00B97BFE">
      <w:pPr>
        <w:pStyle w:val="FootnoteText"/>
        <w:jc w:val="both"/>
      </w:pPr>
      <w:r>
        <w:t>Individual baseline data from schools will be taken into account to assess ability to reach Level 1. Where an individual has shown ability to achieve Level 2, they will be supported to achieve this.</w:t>
      </w:r>
    </w:p>
  </w:footnote>
  <w:footnote w:id="14">
    <w:p w:rsidR="00465361" w:rsidRDefault="00465361" w:rsidP="003256E2">
      <w:pPr>
        <w:pStyle w:val="FootnoteText"/>
        <w:jc w:val="both"/>
      </w:pPr>
      <w:r>
        <w:t xml:space="preserve"> Greater Manchester Combined Authority (2017) Economic Forecasts for Greater Manchester  HYPERLINK "https://www.greatermanchester-ca.gov.uk/info/20004/business_and_economy/73/greater_manchester_forecasting_model/1" https://www.greatermanchester-ca.gov.uk/info/20004/business_and_economy/73/greater_manchester_forecasting_model/1</w:t>
      </w:r>
    </w:p>
  </w:footnote>
  <w:footnote w:id="15">
    <w:p w:rsidR="00465361" w:rsidRDefault="00465361" w:rsidP="003256E2">
      <w:pPr>
        <w:pStyle w:val="FootnoteText"/>
        <w:jc w:val="both"/>
      </w:pPr>
      <w:r>
        <w:t xml:space="preserve">  HYPERLINK "https://www.gov.uk/what-different-qualification-levels-mean/list-of-qualification-levels" https://www.gov.uk/what-different-qualification-levels-mean/list-of-qualification-levels</w:t>
      </w:r>
    </w:p>
  </w:footnote>
  <w:footnote w:id="16">
    <w:p w:rsidR="00465361" w:rsidRDefault="00465361" w:rsidP="003256E2">
      <w:pPr>
        <w:pStyle w:val="FootnoteText"/>
        <w:jc w:val="both"/>
      </w:pPr>
      <w:r>
        <w:t xml:space="preserve"> Salford City Partnership (2017), Salford Employment and Skills Strategy 2017–2020  HYPERLINK "http://www.partnersinsalford.org/documents/Employment_skills_strategy_2017-20_web_-_final_(web_version).pdf" http://www.partnersinsalford.org/documents/Employment_skills_strategy_2017-20_web_-_final_(web_version).pdf</w:t>
      </w:r>
    </w:p>
  </w:footnote>
  <w:footnote w:id="17">
    <w:p w:rsidR="00465361" w:rsidRDefault="00465361" w:rsidP="003256E2">
      <w:pPr>
        <w:pStyle w:val="FootnoteText"/>
        <w:jc w:val="both"/>
      </w:pPr>
      <w:r>
        <w:t xml:space="preserve"> Salford City Partnership (2017), Salford Employment and Skills Strategy 2017–2020  HYPERLINK "http://www.partnersinsalford.org/documents/Employment_skills_strategy_2017-20_web_-_final_(web_version).pdf" http://www.partnersinsalford.org/documents/Employment_skills_strategy_2017-20_web_-_final_(web_version).pdf</w:t>
      </w:r>
    </w:p>
  </w:footnote>
  <w:footnote w:id="18">
    <w:p w:rsidR="00465361" w:rsidRDefault="00465361" w:rsidP="003256E2">
      <w:pPr>
        <w:pStyle w:val="FootnoteText"/>
        <w:jc w:val="both"/>
      </w:pPr>
      <w:r>
        <w:t xml:space="preserve"> Greater Manchester Chamber of Commerce  HYPERLINK "https://www.gmchamber.co.uk/campaigns/" https://www.gmchamber.co.uk/campaigns/</w:t>
      </w:r>
    </w:p>
  </w:footnote>
  <w:footnote w:id="19">
    <w:p w:rsidR="00465361" w:rsidRDefault="00465361" w:rsidP="003256E2">
      <w:pPr>
        <w:pStyle w:val="FootnoteText"/>
        <w:jc w:val="both"/>
      </w:pPr>
      <w:r>
        <w:t xml:space="preserve"> Greater Manchester Combined Authority (2017) Our People, Our Place. The Greater Manchester Strategy  HYPERLINK "https://www.greatermanchester-ca.gov.uk/ourpeopleourplace" https://www.greatermanchester-ca.gov.uk/ourpeopleourplace</w:t>
      </w:r>
    </w:p>
  </w:footnote>
  <w:footnote w:id="20">
    <w:p w:rsidR="00465361" w:rsidRPr="000D529D" w:rsidRDefault="00465361" w:rsidP="003256E2">
      <w:pPr>
        <w:pStyle w:val="FootnoteText"/>
        <w:jc w:val="both"/>
        <w:rPr>
          <w:rFonts w:ascii="Verdana" w:hAnsi="Verdana"/>
        </w:rPr>
      </w:pPr>
      <w:r>
        <w:t xml:space="preserve"> Salford City Partnership (2017), Salford Employment and Skills Strategy 2017–2020  HYPERLINK "http://www.partnersinsalford.org/documents/Employment_skills_strategy_2017-20_web_-_final_(web_version).pdf" http://www.partnersinsalford.org/documents/Employment_</w:t>
      </w:r>
      <w:r w:rsidRPr="000D529D">
        <w:rPr>
          <w:rStyle w:val="Hyperlink"/>
          <w:rFonts w:ascii="Verdana" w:hAnsi="Verdana" w:cs="Arial"/>
        </w:rPr>
        <w:t>skills_strategy_2017-20_web_-_final_(web_version).pdf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61" w:rsidRPr="009A04E5" w:rsidRDefault="00465361" w:rsidP="0056592C">
    <w:pPr>
      <w:pStyle w:val="Header"/>
      <w:rPr>
        <w:rFonts w:ascii="Verdana" w:hAnsi="Verdana"/>
        <w:sz w:val="28"/>
        <w:szCs w:val="28"/>
      </w:rPr>
    </w:pPr>
    <w:r>
      <w:rPr>
        <w:rFonts w:ascii="Verdana" w:hAnsi="Verdana"/>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1DD"/>
    <w:multiLevelType w:val="hybridMultilevel"/>
    <w:tmpl w:val="D2824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B1DC3"/>
    <w:multiLevelType w:val="hybridMultilevel"/>
    <w:tmpl w:val="CE68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A0353"/>
    <w:multiLevelType w:val="hybridMultilevel"/>
    <w:tmpl w:val="6618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07A8"/>
    <w:multiLevelType w:val="hybridMultilevel"/>
    <w:tmpl w:val="B8EE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73B3"/>
    <w:multiLevelType w:val="hybridMultilevel"/>
    <w:tmpl w:val="E7729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D6447"/>
    <w:multiLevelType w:val="multilevel"/>
    <w:tmpl w:val="824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42B9"/>
    <w:multiLevelType w:val="hybridMultilevel"/>
    <w:tmpl w:val="F0489E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C1C0D7D"/>
    <w:multiLevelType w:val="hybridMultilevel"/>
    <w:tmpl w:val="5030B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A1A71"/>
    <w:multiLevelType w:val="hybridMultilevel"/>
    <w:tmpl w:val="32F8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B242E"/>
    <w:multiLevelType w:val="hybridMultilevel"/>
    <w:tmpl w:val="8558FC5C"/>
    <w:lvl w:ilvl="0" w:tplc="E6341F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0DC3F30"/>
    <w:multiLevelType w:val="hybridMultilevel"/>
    <w:tmpl w:val="88F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772C9"/>
    <w:multiLevelType w:val="hybridMultilevel"/>
    <w:tmpl w:val="621AF2C2"/>
    <w:lvl w:ilvl="0" w:tplc="B72A46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77E36"/>
    <w:multiLevelType w:val="hybridMultilevel"/>
    <w:tmpl w:val="6C8A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56AD0"/>
    <w:multiLevelType w:val="hybridMultilevel"/>
    <w:tmpl w:val="0360E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96C3D"/>
    <w:multiLevelType w:val="hybridMultilevel"/>
    <w:tmpl w:val="3E2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36450"/>
    <w:multiLevelType w:val="hybridMultilevel"/>
    <w:tmpl w:val="453696E2"/>
    <w:lvl w:ilvl="0" w:tplc="E3F85334">
      <w:start w:val="1"/>
      <w:numFmt w:val="decimal"/>
      <w:lvlText w:val="%1."/>
      <w:lvlJc w:val="left"/>
      <w:pPr>
        <w:ind w:left="720" w:hanging="360"/>
      </w:pPr>
      <w:rPr>
        <w:rFonts w:ascii="Verdana" w:hAnsi="Verdana"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DB6A19"/>
    <w:multiLevelType w:val="hybridMultilevel"/>
    <w:tmpl w:val="D7CC5256"/>
    <w:lvl w:ilvl="0" w:tplc="CA4AF2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9B163D"/>
    <w:multiLevelType w:val="hybridMultilevel"/>
    <w:tmpl w:val="B194E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D42CCF"/>
    <w:multiLevelType w:val="hybridMultilevel"/>
    <w:tmpl w:val="61986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CE3BBB"/>
    <w:multiLevelType w:val="hybridMultilevel"/>
    <w:tmpl w:val="35542326"/>
    <w:lvl w:ilvl="0" w:tplc="5D6C7E34">
      <w:numFmt w:val="bullet"/>
      <w:lvlText w:val="•"/>
      <w:lvlJc w:val="left"/>
      <w:pPr>
        <w:ind w:left="720" w:hanging="360"/>
      </w:pPr>
      <w:rPr>
        <w:rFonts w:ascii="Verdana" w:eastAsia="Times New Roman" w:hAnsi="Verdana" w:cs="HelveticaNeueLTStd-C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72F7F"/>
    <w:multiLevelType w:val="hybridMultilevel"/>
    <w:tmpl w:val="D34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53AE6"/>
    <w:multiLevelType w:val="multilevel"/>
    <w:tmpl w:val="293E9C92"/>
    <w:lvl w:ilvl="0">
      <w:start w:val="1"/>
      <w:numFmt w:val="decimal"/>
      <w:lvlText w:val="%1."/>
      <w:lvlJc w:val="left"/>
      <w:pPr>
        <w:ind w:left="567" w:hanging="567"/>
      </w:pPr>
      <w:rPr>
        <w:rFonts w:ascii="Arial" w:hAnsi="Arial" w:cs="Arial" w:hint="default"/>
        <w:b/>
        <w:i w:val="0"/>
        <w:color w:val="auto"/>
        <w:sz w:val="24"/>
        <w:szCs w:val="24"/>
      </w:rPr>
    </w:lvl>
    <w:lvl w:ilvl="1">
      <w:start w:val="1"/>
      <w:numFmt w:val="decimal"/>
      <w:lvlText w:val="%1.%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2" w15:restartNumberingAfterBreak="0">
    <w:nsid w:val="625B0CA3"/>
    <w:multiLevelType w:val="hybridMultilevel"/>
    <w:tmpl w:val="517C8CF0"/>
    <w:lvl w:ilvl="0" w:tplc="17CA1B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941A6F"/>
    <w:multiLevelType w:val="hybridMultilevel"/>
    <w:tmpl w:val="8180B3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2CF5E3A"/>
    <w:multiLevelType w:val="hybridMultilevel"/>
    <w:tmpl w:val="2812874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D680D"/>
    <w:multiLevelType w:val="hybridMultilevel"/>
    <w:tmpl w:val="F2F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B3191"/>
    <w:multiLevelType w:val="hybridMultilevel"/>
    <w:tmpl w:val="44AE46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1"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E1566"/>
    <w:multiLevelType w:val="hybridMultilevel"/>
    <w:tmpl w:val="3BEC1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651674"/>
    <w:multiLevelType w:val="hybridMultilevel"/>
    <w:tmpl w:val="491AFB00"/>
    <w:lvl w:ilvl="0" w:tplc="5D6C7E34">
      <w:numFmt w:val="bullet"/>
      <w:lvlText w:val="•"/>
      <w:lvlJc w:val="left"/>
      <w:pPr>
        <w:ind w:left="720" w:hanging="360"/>
      </w:pPr>
      <w:rPr>
        <w:rFonts w:ascii="Verdana" w:eastAsia="Times New Roman" w:hAnsi="Verdana" w:cs="HelveticaNeueLTStd-C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12229"/>
    <w:multiLevelType w:val="hybridMultilevel"/>
    <w:tmpl w:val="593E38B6"/>
    <w:lvl w:ilvl="0" w:tplc="AA228E1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118E8"/>
    <w:multiLevelType w:val="hybridMultilevel"/>
    <w:tmpl w:val="6F90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120F8"/>
    <w:multiLevelType w:val="hybridMultilevel"/>
    <w:tmpl w:val="140A3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EC1FDE"/>
    <w:multiLevelType w:val="hybridMultilevel"/>
    <w:tmpl w:val="35D48EE4"/>
    <w:lvl w:ilvl="0" w:tplc="45183112">
      <w:start w:val="9"/>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7020BA"/>
    <w:multiLevelType w:val="hybridMultilevel"/>
    <w:tmpl w:val="5B9E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746CD"/>
    <w:multiLevelType w:val="hybridMultilevel"/>
    <w:tmpl w:val="E926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7"/>
  </w:num>
  <w:num w:numId="4">
    <w:abstractNumId w:val="23"/>
  </w:num>
  <w:num w:numId="5">
    <w:abstractNumId w:val="9"/>
  </w:num>
  <w:num w:numId="6">
    <w:abstractNumId w:val="26"/>
  </w:num>
  <w:num w:numId="7">
    <w:abstractNumId w:val="10"/>
  </w:num>
  <w:num w:numId="8">
    <w:abstractNumId w:val="34"/>
  </w:num>
  <w:num w:numId="9">
    <w:abstractNumId w:val="5"/>
  </w:num>
  <w:num w:numId="10">
    <w:abstractNumId w:val="27"/>
  </w:num>
  <w:num w:numId="11">
    <w:abstractNumId w:val="4"/>
  </w:num>
  <w:num w:numId="12">
    <w:abstractNumId w:val="14"/>
  </w:num>
  <w:num w:numId="13">
    <w:abstractNumId w:val="12"/>
  </w:num>
  <w:num w:numId="14">
    <w:abstractNumId w:val="8"/>
  </w:num>
  <w:num w:numId="15">
    <w:abstractNumId w:val="19"/>
  </w:num>
  <w:num w:numId="16">
    <w:abstractNumId w:val="28"/>
  </w:num>
  <w:num w:numId="17">
    <w:abstractNumId w:val="0"/>
  </w:num>
  <w:num w:numId="18">
    <w:abstractNumId w:val="15"/>
  </w:num>
  <w:num w:numId="19">
    <w:abstractNumId w:val="3"/>
  </w:num>
  <w:num w:numId="20">
    <w:abstractNumId w:val="20"/>
  </w:num>
  <w:num w:numId="21">
    <w:abstractNumId w:val="30"/>
  </w:num>
  <w:num w:numId="22">
    <w:abstractNumId w:val="31"/>
  </w:num>
  <w:num w:numId="23">
    <w:abstractNumId w:val="1"/>
  </w:num>
  <w:num w:numId="24">
    <w:abstractNumId w:val="24"/>
  </w:num>
  <w:num w:numId="25">
    <w:abstractNumId w:val="18"/>
  </w:num>
  <w:num w:numId="26">
    <w:abstractNumId w:val="7"/>
  </w:num>
  <w:num w:numId="27">
    <w:abstractNumId w:val="2"/>
  </w:num>
  <w:num w:numId="28">
    <w:abstractNumId w:val="11"/>
  </w:num>
  <w:num w:numId="29">
    <w:abstractNumId w:val="16"/>
  </w:num>
  <w:num w:numId="30">
    <w:abstractNumId w:val="22"/>
  </w:num>
  <w:num w:numId="31">
    <w:abstractNumId w:val="29"/>
  </w:num>
  <w:num w:numId="32">
    <w:abstractNumId w:val="32"/>
  </w:num>
  <w:num w:numId="33">
    <w:abstractNumId w:val="9"/>
  </w:num>
  <w:num w:numId="34">
    <w:abstractNumId w:val="33"/>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87"/>
    <w:rsid w:val="0000516F"/>
    <w:rsid w:val="00006607"/>
    <w:rsid w:val="00012854"/>
    <w:rsid w:val="0001728E"/>
    <w:rsid w:val="00026B79"/>
    <w:rsid w:val="00030F34"/>
    <w:rsid w:val="00035EF2"/>
    <w:rsid w:val="0004106E"/>
    <w:rsid w:val="000558AF"/>
    <w:rsid w:val="00061986"/>
    <w:rsid w:val="0006490B"/>
    <w:rsid w:val="00071559"/>
    <w:rsid w:val="00074431"/>
    <w:rsid w:val="00097F6F"/>
    <w:rsid w:val="000B0A9E"/>
    <w:rsid w:val="000B540D"/>
    <w:rsid w:val="000B69F4"/>
    <w:rsid w:val="000C7979"/>
    <w:rsid w:val="000D1538"/>
    <w:rsid w:val="000D2A1E"/>
    <w:rsid w:val="000D4625"/>
    <w:rsid w:val="000D529D"/>
    <w:rsid w:val="000D614C"/>
    <w:rsid w:val="000D6625"/>
    <w:rsid w:val="000E2498"/>
    <w:rsid w:val="000E2662"/>
    <w:rsid w:val="000F18F8"/>
    <w:rsid w:val="000F559F"/>
    <w:rsid w:val="000F731C"/>
    <w:rsid w:val="000F7662"/>
    <w:rsid w:val="00100319"/>
    <w:rsid w:val="00105B39"/>
    <w:rsid w:val="00122859"/>
    <w:rsid w:val="00125FEA"/>
    <w:rsid w:val="00126ED6"/>
    <w:rsid w:val="00127A43"/>
    <w:rsid w:val="00144957"/>
    <w:rsid w:val="00154ED6"/>
    <w:rsid w:val="0016650C"/>
    <w:rsid w:val="001777BC"/>
    <w:rsid w:val="00181920"/>
    <w:rsid w:val="00193E87"/>
    <w:rsid w:val="00195D88"/>
    <w:rsid w:val="001A00BE"/>
    <w:rsid w:val="001A0148"/>
    <w:rsid w:val="001A72A4"/>
    <w:rsid w:val="001B1D67"/>
    <w:rsid w:val="001B52CB"/>
    <w:rsid w:val="001C0854"/>
    <w:rsid w:val="001D03CD"/>
    <w:rsid w:val="001D56CF"/>
    <w:rsid w:val="001E21BF"/>
    <w:rsid w:val="001E300F"/>
    <w:rsid w:val="001E4115"/>
    <w:rsid w:val="001F0BEC"/>
    <w:rsid w:val="001F295C"/>
    <w:rsid w:val="002065BA"/>
    <w:rsid w:val="0021467F"/>
    <w:rsid w:val="00221BF6"/>
    <w:rsid w:val="0023012B"/>
    <w:rsid w:val="00230948"/>
    <w:rsid w:val="002325FA"/>
    <w:rsid w:val="00236370"/>
    <w:rsid w:val="00236570"/>
    <w:rsid w:val="0024061E"/>
    <w:rsid w:val="0024283B"/>
    <w:rsid w:val="002447E4"/>
    <w:rsid w:val="00246975"/>
    <w:rsid w:val="00250205"/>
    <w:rsid w:val="00254D4D"/>
    <w:rsid w:val="00255849"/>
    <w:rsid w:val="00263EB0"/>
    <w:rsid w:val="00271B0F"/>
    <w:rsid w:val="00271DC0"/>
    <w:rsid w:val="0027557D"/>
    <w:rsid w:val="00284B62"/>
    <w:rsid w:val="002A5A36"/>
    <w:rsid w:val="002A5BE1"/>
    <w:rsid w:val="002A5EED"/>
    <w:rsid w:val="002C649C"/>
    <w:rsid w:val="002C6678"/>
    <w:rsid w:val="002E1946"/>
    <w:rsid w:val="002F08CB"/>
    <w:rsid w:val="002F4671"/>
    <w:rsid w:val="00305011"/>
    <w:rsid w:val="0031288E"/>
    <w:rsid w:val="003256E2"/>
    <w:rsid w:val="00325F50"/>
    <w:rsid w:val="003438A3"/>
    <w:rsid w:val="00344038"/>
    <w:rsid w:val="00364984"/>
    <w:rsid w:val="00375E4C"/>
    <w:rsid w:val="00383B54"/>
    <w:rsid w:val="00386535"/>
    <w:rsid w:val="00387831"/>
    <w:rsid w:val="00390AA0"/>
    <w:rsid w:val="00393870"/>
    <w:rsid w:val="003A508A"/>
    <w:rsid w:val="003B0D60"/>
    <w:rsid w:val="003B3097"/>
    <w:rsid w:val="003B7FAB"/>
    <w:rsid w:val="003C6043"/>
    <w:rsid w:val="003D0A24"/>
    <w:rsid w:val="003D1CC3"/>
    <w:rsid w:val="003D436D"/>
    <w:rsid w:val="003D6A7F"/>
    <w:rsid w:val="003E1410"/>
    <w:rsid w:val="003E2090"/>
    <w:rsid w:val="003F1B34"/>
    <w:rsid w:val="00404D99"/>
    <w:rsid w:val="00407E09"/>
    <w:rsid w:val="00412761"/>
    <w:rsid w:val="00413BDD"/>
    <w:rsid w:val="0042431F"/>
    <w:rsid w:val="00424788"/>
    <w:rsid w:val="004251B3"/>
    <w:rsid w:val="004264B9"/>
    <w:rsid w:val="00451233"/>
    <w:rsid w:val="00465361"/>
    <w:rsid w:val="00483DBE"/>
    <w:rsid w:val="00484919"/>
    <w:rsid w:val="00487FB2"/>
    <w:rsid w:val="0049613E"/>
    <w:rsid w:val="004B0F24"/>
    <w:rsid w:val="004C122C"/>
    <w:rsid w:val="004C3DED"/>
    <w:rsid w:val="004E49BB"/>
    <w:rsid w:val="004E7941"/>
    <w:rsid w:val="004F5FD4"/>
    <w:rsid w:val="00501B8B"/>
    <w:rsid w:val="00504DCB"/>
    <w:rsid w:val="00507519"/>
    <w:rsid w:val="005138A3"/>
    <w:rsid w:val="005142CA"/>
    <w:rsid w:val="00523882"/>
    <w:rsid w:val="00523991"/>
    <w:rsid w:val="00527B3E"/>
    <w:rsid w:val="00537F64"/>
    <w:rsid w:val="005421EF"/>
    <w:rsid w:val="00543C27"/>
    <w:rsid w:val="00553222"/>
    <w:rsid w:val="00555C1E"/>
    <w:rsid w:val="0056018F"/>
    <w:rsid w:val="005630F6"/>
    <w:rsid w:val="00563E88"/>
    <w:rsid w:val="0056592C"/>
    <w:rsid w:val="00580593"/>
    <w:rsid w:val="005922C3"/>
    <w:rsid w:val="005A0F23"/>
    <w:rsid w:val="005A189E"/>
    <w:rsid w:val="005A2BD1"/>
    <w:rsid w:val="005A6A29"/>
    <w:rsid w:val="005B1291"/>
    <w:rsid w:val="005B6078"/>
    <w:rsid w:val="005B6524"/>
    <w:rsid w:val="005B7FF0"/>
    <w:rsid w:val="005D1F7D"/>
    <w:rsid w:val="005E11E7"/>
    <w:rsid w:val="005E5C4F"/>
    <w:rsid w:val="005F54CE"/>
    <w:rsid w:val="00605A6F"/>
    <w:rsid w:val="00612E02"/>
    <w:rsid w:val="00615141"/>
    <w:rsid w:val="00620B33"/>
    <w:rsid w:val="00622972"/>
    <w:rsid w:val="0063265A"/>
    <w:rsid w:val="00633C9D"/>
    <w:rsid w:val="0063746A"/>
    <w:rsid w:val="0064188C"/>
    <w:rsid w:val="00646B31"/>
    <w:rsid w:val="00665E7B"/>
    <w:rsid w:val="00686E29"/>
    <w:rsid w:val="00691DBE"/>
    <w:rsid w:val="006A0BE2"/>
    <w:rsid w:val="006A313D"/>
    <w:rsid w:val="006A3583"/>
    <w:rsid w:val="006A7880"/>
    <w:rsid w:val="006B08AA"/>
    <w:rsid w:val="006B5C9B"/>
    <w:rsid w:val="006B677D"/>
    <w:rsid w:val="006C41C7"/>
    <w:rsid w:val="006E48E8"/>
    <w:rsid w:val="00711005"/>
    <w:rsid w:val="00714C2D"/>
    <w:rsid w:val="00754659"/>
    <w:rsid w:val="00766B98"/>
    <w:rsid w:val="007716D8"/>
    <w:rsid w:val="00777185"/>
    <w:rsid w:val="007844EA"/>
    <w:rsid w:val="00793171"/>
    <w:rsid w:val="007B4CBA"/>
    <w:rsid w:val="007B62F4"/>
    <w:rsid w:val="007C000A"/>
    <w:rsid w:val="007C5D92"/>
    <w:rsid w:val="007C73C3"/>
    <w:rsid w:val="007C7E45"/>
    <w:rsid w:val="007D3B75"/>
    <w:rsid w:val="007D6BB8"/>
    <w:rsid w:val="007E536C"/>
    <w:rsid w:val="007E6771"/>
    <w:rsid w:val="00805A1A"/>
    <w:rsid w:val="0081432B"/>
    <w:rsid w:val="00816501"/>
    <w:rsid w:val="008207B6"/>
    <w:rsid w:val="0082122A"/>
    <w:rsid w:val="00821BC7"/>
    <w:rsid w:val="00824858"/>
    <w:rsid w:val="008360DD"/>
    <w:rsid w:val="00857543"/>
    <w:rsid w:val="0089297A"/>
    <w:rsid w:val="00896FAA"/>
    <w:rsid w:val="008A1580"/>
    <w:rsid w:val="008B2473"/>
    <w:rsid w:val="008C0842"/>
    <w:rsid w:val="008D126D"/>
    <w:rsid w:val="008E4E09"/>
    <w:rsid w:val="008F0D4B"/>
    <w:rsid w:val="008F4E8E"/>
    <w:rsid w:val="009004C3"/>
    <w:rsid w:val="00902115"/>
    <w:rsid w:val="00904C72"/>
    <w:rsid w:val="00905624"/>
    <w:rsid w:val="0090676B"/>
    <w:rsid w:val="00920AE5"/>
    <w:rsid w:val="00923A36"/>
    <w:rsid w:val="00926738"/>
    <w:rsid w:val="00932F1F"/>
    <w:rsid w:val="00934EA4"/>
    <w:rsid w:val="009444A2"/>
    <w:rsid w:val="00954C41"/>
    <w:rsid w:val="00956CBF"/>
    <w:rsid w:val="00960377"/>
    <w:rsid w:val="00961218"/>
    <w:rsid w:val="00983823"/>
    <w:rsid w:val="009A04E5"/>
    <w:rsid w:val="009A1EF9"/>
    <w:rsid w:val="009A24F6"/>
    <w:rsid w:val="009D6854"/>
    <w:rsid w:val="00A27970"/>
    <w:rsid w:val="00A4242A"/>
    <w:rsid w:val="00A50DA1"/>
    <w:rsid w:val="00A632B8"/>
    <w:rsid w:val="00A67C73"/>
    <w:rsid w:val="00A73A38"/>
    <w:rsid w:val="00A8528F"/>
    <w:rsid w:val="00A9483D"/>
    <w:rsid w:val="00A97D77"/>
    <w:rsid w:val="00AA23C8"/>
    <w:rsid w:val="00AA26B4"/>
    <w:rsid w:val="00AC65EC"/>
    <w:rsid w:val="00AD4F76"/>
    <w:rsid w:val="00B01645"/>
    <w:rsid w:val="00B04811"/>
    <w:rsid w:val="00B058E3"/>
    <w:rsid w:val="00B070F7"/>
    <w:rsid w:val="00B15157"/>
    <w:rsid w:val="00B21744"/>
    <w:rsid w:val="00B24473"/>
    <w:rsid w:val="00B34A2B"/>
    <w:rsid w:val="00B47451"/>
    <w:rsid w:val="00B5139F"/>
    <w:rsid w:val="00B603E9"/>
    <w:rsid w:val="00B81A2D"/>
    <w:rsid w:val="00B878EB"/>
    <w:rsid w:val="00B92F4E"/>
    <w:rsid w:val="00B945C9"/>
    <w:rsid w:val="00B97BFE"/>
    <w:rsid w:val="00BA277E"/>
    <w:rsid w:val="00BA6393"/>
    <w:rsid w:val="00BB0003"/>
    <w:rsid w:val="00BB2910"/>
    <w:rsid w:val="00BB7135"/>
    <w:rsid w:val="00BC14D6"/>
    <w:rsid w:val="00BC2FE6"/>
    <w:rsid w:val="00BC34C7"/>
    <w:rsid w:val="00BC497E"/>
    <w:rsid w:val="00BD579E"/>
    <w:rsid w:val="00BD68DD"/>
    <w:rsid w:val="00BE1495"/>
    <w:rsid w:val="00BE6CC8"/>
    <w:rsid w:val="00BE75C5"/>
    <w:rsid w:val="00BF0FB3"/>
    <w:rsid w:val="00BF5DA5"/>
    <w:rsid w:val="00C0370F"/>
    <w:rsid w:val="00C07D22"/>
    <w:rsid w:val="00C20732"/>
    <w:rsid w:val="00C30F90"/>
    <w:rsid w:val="00C34225"/>
    <w:rsid w:val="00C34F7F"/>
    <w:rsid w:val="00C42E81"/>
    <w:rsid w:val="00C709A1"/>
    <w:rsid w:val="00C77CF8"/>
    <w:rsid w:val="00C874D3"/>
    <w:rsid w:val="00C90F59"/>
    <w:rsid w:val="00C94572"/>
    <w:rsid w:val="00C95E47"/>
    <w:rsid w:val="00CB0608"/>
    <w:rsid w:val="00CB08EF"/>
    <w:rsid w:val="00CB5BBE"/>
    <w:rsid w:val="00CC0852"/>
    <w:rsid w:val="00CC6C03"/>
    <w:rsid w:val="00CC707E"/>
    <w:rsid w:val="00CD6093"/>
    <w:rsid w:val="00CE5796"/>
    <w:rsid w:val="00CE7C2D"/>
    <w:rsid w:val="00CF0D12"/>
    <w:rsid w:val="00CF322F"/>
    <w:rsid w:val="00D03C2D"/>
    <w:rsid w:val="00D15F19"/>
    <w:rsid w:val="00D20863"/>
    <w:rsid w:val="00D31705"/>
    <w:rsid w:val="00D36D51"/>
    <w:rsid w:val="00D36EFC"/>
    <w:rsid w:val="00D4032D"/>
    <w:rsid w:val="00D40C78"/>
    <w:rsid w:val="00D54430"/>
    <w:rsid w:val="00D5754F"/>
    <w:rsid w:val="00D60132"/>
    <w:rsid w:val="00D61EDB"/>
    <w:rsid w:val="00D70681"/>
    <w:rsid w:val="00D92C51"/>
    <w:rsid w:val="00D96537"/>
    <w:rsid w:val="00DA1FE5"/>
    <w:rsid w:val="00DA7676"/>
    <w:rsid w:val="00DB7CD6"/>
    <w:rsid w:val="00DC7F1C"/>
    <w:rsid w:val="00DD4487"/>
    <w:rsid w:val="00DE0388"/>
    <w:rsid w:val="00DE0FB3"/>
    <w:rsid w:val="00DE3943"/>
    <w:rsid w:val="00DE3B03"/>
    <w:rsid w:val="00DE7097"/>
    <w:rsid w:val="00DF0A5C"/>
    <w:rsid w:val="00DF3C74"/>
    <w:rsid w:val="00DF5147"/>
    <w:rsid w:val="00DF57D2"/>
    <w:rsid w:val="00DF635A"/>
    <w:rsid w:val="00E01146"/>
    <w:rsid w:val="00E02A53"/>
    <w:rsid w:val="00E03EC2"/>
    <w:rsid w:val="00E108F2"/>
    <w:rsid w:val="00E10C61"/>
    <w:rsid w:val="00E12EC4"/>
    <w:rsid w:val="00E146E0"/>
    <w:rsid w:val="00E150CB"/>
    <w:rsid w:val="00E26D22"/>
    <w:rsid w:val="00E57BC0"/>
    <w:rsid w:val="00E6127F"/>
    <w:rsid w:val="00E6707D"/>
    <w:rsid w:val="00E7017A"/>
    <w:rsid w:val="00E750E7"/>
    <w:rsid w:val="00E83901"/>
    <w:rsid w:val="00E83ED6"/>
    <w:rsid w:val="00E86C6E"/>
    <w:rsid w:val="00E90482"/>
    <w:rsid w:val="00E91961"/>
    <w:rsid w:val="00E939AA"/>
    <w:rsid w:val="00E95987"/>
    <w:rsid w:val="00E97CBC"/>
    <w:rsid w:val="00EA1FCE"/>
    <w:rsid w:val="00EA76E0"/>
    <w:rsid w:val="00ED1B74"/>
    <w:rsid w:val="00EE3299"/>
    <w:rsid w:val="00EE7F0B"/>
    <w:rsid w:val="00F03DBF"/>
    <w:rsid w:val="00F05CAE"/>
    <w:rsid w:val="00F072C9"/>
    <w:rsid w:val="00F1267E"/>
    <w:rsid w:val="00F16718"/>
    <w:rsid w:val="00F30927"/>
    <w:rsid w:val="00F33C6E"/>
    <w:rsid w:val="00F35AFF"/>
    <w:rsid w:val="00F45EEA"/>
    <w:rsid w:val="00F4662F"/>
    <w:rsid w:val="00F5323E"/>
    <w:rsid w:val="00F552DE"/>
    <w:rsid w:val="00F66C48"/>
    <w:rsid w:val="00F71556"/>
    <w:rsid w:val="00F72AC2"/>
    <w:rsid w:val="00F80170"/>
    <w:rsid w:val="00F8137D"/>
    <w:rsid w:val="00FA0C58"/>
    <w:rsid w:val="00FA2977"/>
    <w:rsid w:val="00FA56CD"/>
    <w:rsid w:val="00FA7764"/>
    <w:rsid w:val="00FB7FED"/>
    <w:rsid w:val="00FC63B1"/>
    <w:rsid w:val="00FD03DE"/>
    <w:rsid w:val="00FD442A"/>
    <w:rsid w:val="00FD5A94"/>
    <w:rsid w:val="00FD769B"/>
    <w:rsid w:val="00FE3098"/>
    <w:rsid w:val="00FE44C9"/>
    <w:rsid w:val="00FE5F91"/>
    <w:rsid w:val="00FF09E3"/>
    <w:rsid w:val="00FF1EA3"/>
    <w:rsid w:val="00FF2033"/>
    <w:rsid w:val="00FF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50C05D-7B89-4DB4-BFBF-6D0E695D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09"/>
    <w:rPr>
      <w:rFonts w:ascii="Arial" w:hAnsi="Arial"/>
      <w:sz w:val="24"/>
      <w:szCs w:val="24"/>
    </w:rPr>
  </w:style>
  <w:style w:type="paragraph" w:styleId="Heading1">
    <w:name w:val="heading 1"/>
    <w:basedOn w:val="Normal"/>
    <w:next w:val="Normal"/>
    <w:link w:val="Heading1Char"/>
    <w:uiPriority w:val="9"/>
    <w:qFormat/>
    <w:rsid w:val="00501B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F8E"/>
    <w:pPr>
      <w:tabs>
        <w:tab w:val="center" w:pos="4153"/>
        <w:tab w:val="right" w:pos="8306"/>
      </w:tabs>
    </w:pPr>
  </w:style>
  <w:style w:type="paragraph" w:styleId="Footer">
    <w:name w:val="footer"/>
    <w:basedOn w:val="Normal"/>
    <w:rsid w:val="00FF4F8E"/>
    <w:pPr>
      <w:tabs>
        <w:tab w:val="center" w:pos="4153"/>
        <w:tab w:val="right" w:pos="8306"/>
      </w:tabs>
    </w:pPr>
  </w:style>
  <w:style w:type="table" w:styleId="TableGrid">
    <w:name w:val="Table Grid"/>
    <w:basedOn w:val="TableNormal"/>
    <w:rsid w:val="00BC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04C3"/>
    <w:rPr>
      <w:rFonts w:ascii="Tahoma" w:hAnsi="Tahoma" w:cs="Tahoma"/>
      <w:sz w:val="16"/>
      <w:szCs w:val="16"/>
    </w:rPr>
  </w:style>
  <w:style w:type="character" w:styleId="PageNumber">
    <w:name w:val="page number"/>
    <w:basedOn w:val="DefaultParagraphFont"/>
    <w:rsid w:val="003D6A7F"/>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934EA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934EA4"/>
    <w:rPr>
      <w:rFonts w:ascii="Arial" w:hAnsi="Arial"/>
      <w:sz w:val="24"/>
      <w:szCs w:val="24"/>
    </w:rPr>
  </w:style>
  <w:style w:type="character" w:styleId="Hyperlink">
    <w:name w:val="Hyperlink"/>
    <w:basedOn w:val="DefaultParagraphFont"/>
    <w:uiPriority w:val="99"/>
    <w:unhideWhenUsed/>
    <w:rsid w:val="006B677D"/>
    <w:rPr>
      <w:color w:val="0000FF"/>
      <w:u w:val="single"/>
    </w:rPr>
  </w:style>
  <w:style w:type="paragraph" w:styleId="FootnoteText">
    <w:name w:val="footnote text"/>
    <w:basedOn w:val="Normal"/>
    <w:link w:val="FootnoteTextChar"/>
    <w:uiPriority w:val="99"/>
    <w:semiHidden/>
    <w:unhideWhenUsed/>
    <w:rsid w:val="006B677D"/>
    <w:rPr>
      <w:sz w:val="20"/>
      <w:szCs w:val="20"/>
    </w:rPr>
  </w:style>
  <w:style w:type="character" w:customStyle="1" w:styleId="FootnoteTextChar">
    <w:name w:val="Footnote Text Char"/>
    <w:basedOn w:val="DefaultParagraphFont"/>
    <w:link w:val="FootnoteText"/>
    <w:uiPriority w:val="99"/>
    <w:semiHidden/>
    <w:rsid w:val="006B677D"/>
    <w:rPr>
      <w:rFonts w:ascii="Arial" w:hAnsi="Arial"/>
    </w:rPr>
  </w:style>
  <w:style w:type="character" w:styleId="FootnoteReference">
    <w:name w:val="footnote reference"/>
    <w:basedOn w:val="DefaultParagraphFont"/>
    <w:uiPriority w:val="99"/>
    <w:semiHidden/>
    <w:unhideWhenUsed/>
    <w:rsid w:val="006B677D"/>
    <w:rPr>
      <w:vertAlign w:val="superscript"/>
    </w:rPr>
  </w:style>
  <w:style w:type="character" w:styleId="FollowedHyperlink">
    <w:name w:val="FollowedHyperlink"/>
    <w:basedOn w:val="DefaultParagraphFont"/>
    <w:uiPriority w:val="99"/>
    <w:semiHidden/>
    <w:unhideWhenUsed/>
    <w:rsid w:val="00CE5796"/>
    <w:rPr>
      <w:color w:val="800080" w:themeColor="followedHyperlink"/>
      <w:u w:val="single"/>
    </w:rPr>
  </w:style>
  <w:style w:type="paragraph" w:customStyle="1" w:styleId="Pa1">
    <w:name w:val="Pa1"/>
    <w:basedOn w:val="Normal"/>
    <w:next w:val="Normal"/>
    <w:uiPriority w:val="99"/>
    <w:rsid w:val="00CE5796"/>
    <w:pPr>
      <w:autoSpaceDE w:val="0"/>
      <w:autoSpaceDN w:val="0"/>
      <w:adjustRightInd w:val="0"/>
      <w:spacing w:line="241" w:lineRule="atLeast"/>
    </w:pPr>
    <w:rPr>
      <w:rFonts w:ascii="Colfax Medium" w:hAnsi="Colfax Medium"/>
    </w:rPr>
  </w:style>
  <w:style w:type="character" w:customStyle="1" w:styleId="A4">
    <w:name w:val="A4"/>
    <w:uiPriority w:val="99"/>
    <w:rsid w:val="00CE5796"/>
    <w:rPr>
      <w:rFonts w:cs="Colfax Medium"/>
      <w:color w:val="000000"/>
      <w:sz w:val="30"/>
      <w:szCs w:val="30"/>
    </w:rPr>
  </w:style>
  <w:style w:type="paragraph" w:customStyle="1" w:styleId="Default">
    <w:name w:val="Default"/>
    <w:rsid w:val="00CE5796"/>
    <w:pPr>
      <w:autoSpaceDE w:val="0"/>
      <w:autoSpaceDN w:val="0"/>
      <w:adjustRightInd w:val="0"/>
    </w:pPr>
    <w:rPr>
      <w:rFonts w:ascii="Colfax Light" w:hAnsi="Colfax Light" w:cs="Colfax Light"/>
      <w:color w:val="000000"/>
      <w:sz w:val="24"/>
      <w:szCs w:val="24"/>
    </w:rPr>
  </w:style>
  <w:style w:type="character" w:customStyle="1" w:styleId="A8">
    <w:name w:val="A8"/>
    <w:uiPriority w:val="99"/>
    <w:rsid w:val="00CE5796"/>
    <w:rPr>
      <w:rFonts w:cs="Colfax Light"/>
      <w:color w:val="000000"/>
    </w:rPr>
  </w:style>
  <w:style w:type="paragraph" w:styleId="NormalWeb">
    <w:name w:val="Normal (Web)"/>
    <w:basedOn w:val="Normal"/>
    <w:uiPriority w:val="99"/>
    <w:semiHidden/>
    <w:unhideWhenUsed/>
    <w:rsid w:val="00553222"/>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553222"/>
    <w:rPr>
      <w:i/>
      <w:iCs/>
    </w:rPr>
  </w:style>
  <w:style w:type="character" w:styleId="Strong">
    <w:name w:val="Strong"/>
    <w:basedOn w:val="DefaultParagraphFont"/>
    <w:uiPriority w:val="22"/>
    <w:qFormat/>
    <w:rsid w:val="00404D99"/>
    <w:rPr>
      <w:b/>
      <w:bCs/>
    </w:rPr>
  </w:style>
  <w:style w:type="paragraph" w:customStyle="1" w:styleId="Pa9">
    <w:name w:val="Pa9"/>
    <w:basedOn w:val="Default"/>
    <w:next w:val="Default"/>
    <w:uiPriority w:val="99"/>
    <w:rsid w:val="00122859"/>
    <w:pPr>
      <w:spacing w:line="481" w:lineRule="atLeast"/>
    </w:pPr>
    <w:rPr>
      <w:rFonts w:ascii="Gotham Narrow Bold" w:hAnsi="Gotham Narrow Bold" w:cs="Times New Roman"/>
      <w:color w:val="auto"/>
    </w:rPr>
  </w:style>
  <w:style w:type="character" w:customStyle="1" w:styleId="A7">
    <w:name w:val="A7"/>
    <w:uiPriority w:val="99"/>
    <w:rsid w:val="00537F64"/>
    <w:rPr>
      <w:rFonts w:cs="Gotham Narrow Book"/>
      <w:color w:val="000000"/>
      <w:sz w:val="12"/>
      <w:szCs w:val="12"/>
    </w:rPr>
  </w:style>
  <w:style w:type="character" w:customStyle="1" w:styleId="Heading1Char">
    <w:name w:val="Heading 1 Char"/>
    <w:basedOn w:val="DefaultParagraphFont"/>
    <w:link w:val="Heading1"/>
    <w:uiPriority w:val="9"/>
    <w:rsid w:val="00501B8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1B8B"/>
    <w:pPr>
      <w:spacing w:line="259" w:lineRule="auto"/>
      <w:outlineLvl w:val="9"/>
    </w:pPr>
    <w:rPr>
      <w:lang w:val="en-US" w:eastAsia="en-US"/>
    </w:rPr>
  </w:style>
  <w:style w:type="paragraph" w:styleId="TOC2">
    <w:name w:val="toc 2"/>
    <w:basedOn w:val="Normal"/>
    <w:next w:val="Normal"/>
    <w:autoRedefine/>
    <w:uiPriority w:val="39"/>
    <w:unhideWhenUsed/>
    <w:rsid w:val="00501B8B"/>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0F559F"/>
    <w:pPr>
      <w:spacing w:line="480" w:lineRule="auto"/>
      <w:jc w:val="both"/>
    </w:pPr>
    <w:rPr>
      <w:rFonts w:eastAsiaTheme="minorEastAsia" w:cs="Arial"/>
      <w:b/>
      <w:bCs/>
      <w:lang w:val="en-US" w:eastAsia="en-US"/>
    </w:rPr>
  </w:style>
  <w:style w:type="paragraph" w:styleId="TOC3">
    <w:name w:val="toc 3"/>
    <w:basedOn w:val="Normal"/>
    <w:next w:val="Normal"/>
    <w:autoRedefine/>
    <w:uiPriority w:val="39"/>
    <w:unhideWhenUsed/>
    <w:rsid w:val="00501B8B"/>
    <w:pPr>
      <w:spacing w:after="100" w:line="259" w:lineRule="auto"/>
      <w:ind w:left="440"/>
    </w:pPr>
    <w:rPr>
      <w:rFonts w:asciiTheme="minorHAnsi" w:eastAsiaTheme="minorEastAsia" w:hAnsiTheme="minorHAnsi"/>
      <w:sz w:val="22"/>
      <w:szCs w:val="22"/>
      <w:lang w:val="en-US" w:eastAsia="en-US"/>
    </w:rPr>
  </w:style>
  <w:style w:type="character" w:styleId="CommentReference">
    <w:name w:val="annotation reference"/>
    <w:basedOn w:val="DefaultParagraphFont"/>
    <w:uiPriority w:val="99"/>
    <w:semiHidden/>
    <w:unhideWhenUsed/>
    <w:rsid w:val="00A73A38"/>
    <w:rPr>
      <w:sz w:val="16"/>
      <w:szCs w:val="16"/>
    </w:rPr>
  </w:style>
  <w:style w:type="paragraph" w:styleId="CommentText">
    <w:name w:val="annotation text"/>
    <w:basedOn w:val="Normal"/>
    <w:link w:val="CommentTextChar"/>
    <w:uiPriority w:val="99"/>
    <w:semiHidden/>
    <w:unhideWhenUsed/>
    <w:rsid w:val="00A73A38"/>
    <w:rPr>
      <w:sz w:val="20"/>
      <w:szCs w:val="20"/>
    </w:rPr>
  </w:style>
  <w:style w:type="character" w:customStyle="1" w:styleId="CommentTextChar">
    <w:name w:val="Comment Text Char"/>
    <w:basedOn w:val="DefaultParagraphFont"/>
    <w:link w:val="CommentText"/>
    <w:uiPriority w:val="99"/>
    <w:semiHidden/>
    <w:rsid w:val="00A73A38"/>
    <w:rPr>
      <w:rFonts w:ascii="Arial" w:hAnsi="Arial"/>
    </w:rPr>
  </w:style>
  <w:style w:type="paragraph" w:styleId="CommentSubject">
    <w:name w:val="annotation subject"/>
    <w:basedOn w:val="CommentText"/>
    <w:next w:val="CommentText"/>
    <w:link w:val="CommentSubjectChar"/>
    <w:uiPriority w:val="99"/>
    <w:semiHidden/>
    <w:unhideWhenUsed/>
    <w:rsid w:val="00A73A38"/>
    <w:rPr>
      <w:b/>
      <w:bCs/>
    </w:rPr>
  </w:style>
  <w:style w:type="character" w:customStyle="1" w:styleId="CommentSubjectChar">
    <w:name w:val="Comment Subject Char"/>
    <w:basedOn w:val="CommentTextChar"/>
    <w:link w:val="CommentSubject"/>
    <w:uiPriority w:val="99"/>
    <w:semiHidden/>
    <w:rsid w:val="00A73A38"/>
    <w:rPr>
      <w:rFonts w:ascii="Arial" w:hAnsi="Arial"/>
      <w:b/>
      <w:bCs/>
    </w:rPr>
  </w:style>
  <w:style w:type="character" w:customStyle="1" w:styleId="firstline">
    <w:name w:val="firstline"/>
    <w:basedOn w:val="DefaultParagraphFont"/>
    <w:rsid w:val="00BD579E"/>
  </w:style>
  <w:style w:type="paragraph" w:styleId="PlainText">
    <w:name w:val="Plain Text"/>
    <w:basedOn w:val="Normal"/>
    <w:link w:val="PlainTextChar"/>
    <w:uiPriority w:val="99"/>
    <w:unhideWhenUsed/>
    <w:rsid w:val="006A313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A313D"/>
    <w:rPr>
      <w:rFonts w:ascii="Calibri" w:eastAsiaTheme="minorHAnsi" w:hAnsi="Calibri" w:cstheme="minorBidi"/>
      <w:sz w:val="22"/>
      <w:szCs w:val="21"/>
      <w:lang w:eastAsia="en-US"/>
    </w:rPr>
  </w:style>
  <w:style w:type="paragraph" w:styleId="EndnoteText">
    <w:name w:val="endnote text"/>
    <w:basedOn w:val="Normal"/>
    <w:link w:val="EndnoteTextChar"/>
    <w:uiPriority w:val="99"/>
    <w:semiHidden/>
    <w:unhideWhenUsed/>
    <w:rsid w:val="0090676B"/>
    <w:rPr>
      <w:sz w:val="20"/>
      <w:szCs w:val="20"/>
    </w:rPr>
  </w:style>
  <w:style w:type="character" w:customStyle="1" w:styleId="EndnoteTextChar">
    <w:name w:val="Endnote Text Char"/>
    <w:basedOn w:val="DefaultParagraphFont"/>
    <w:link w:val="EndnoteText"/>
    <w:uiPriority w:val="99"/>
    <w:semiHidden/>
    <w:rsid w:val="0090676B"/>
    <w:rPr>
      <w:rFonts w:ascii="Arial" w:hAnsi="Arial"/>
    </w:rPr>
  </w:style>
  <w:style w:type="character" w:styleId="EndnoteReference">
    <w:name w:val="endnote reference"/>
    <w:basedOn w:val="DefaultParagraphFont"/>
    <w:uiPriority w:val="99"/>
    <w:semiHidden/>
    <w:unhideWhenUsed/>
    <w:rsid w:val="00906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781">
      <w:bodyDiv w:val="1"/>
      <w:marLeft w:val="0"/>
      <w:marRight w:val="0"/>
      <w:marTop w:val="0"/>
      <w:marBottom w:val="0"/>
      <w:divBdr>
        <w:top w:val="none" w:sz="0" w:space="0" w:color="auto"/>
        <w:left w:val="none" w:sz="0" w:space="0" w:color="auto"/>
        <w:bottom w:val="none" w:sz="0" w:space="0" w:color="auto"/>
        <w:right w:val="none" w:sz="0" w:space="0" w:color="auto"/>
      </w:divBdr>
    </w:div>
    <w:div w:id="143008645">
      <w:bodyDiv w:val="1"/>
      <w:marLeft w:val="0"/>
      <w:marRight w:val="0"/>
      <w:marTop w:val="0"/>
      <w:marBottom w:val="0"/>
      <w:divBdr>
        <w:top w:val="none" w:sz="0" w:space="0" w:color="auto"/>
        <w:left w:val="none" w:sz="0" w:space="0" w:color="auto"/>
        <w:bottom w:val="none" w:sz="0" w:space="0" w:color="auto"/>
        <w:right w:val="none" w:sz="0" w:space="0" w:color="auto"/>
      </w:divBdr>
    </w:div>
    <w:div w:id="289820499">
      <w:bodyDiv w:val="1"/>
      <w:marLeft w:val="0"/>
      <w:marRight w:val="0"/>
      <w:marTop w:val="0"/>
      <w:marBottom w:val="0"/>
      <w:divBdr>
        <w:top w:val="none" w:sz="0" w:space="0" w:color="auto"/>
        <w:left w:val="none" w:sz="0" w:space="0" w:color="auto"/>
        <w:bottom w:val="none" w:sz="0" w:space="0" w:color="auto"/>
        <w:right w:val="none" w:sz="0" w:space="0" w:color="auto"/>
      </w:divBdr>
    </w:div>
    <w:div w:id="350298988">
      <w:bodyDiv w:val="1"/>
      <w:marLeft w:val="0"/>
      <w:marRight w:val="0"/>
      <w:marTop w:val="0"/>
      <w:marBottom w:val="0"/>
      <w:divBdr>
        <w:top w:val="none" w:sz="0" w:space="0" w:color="auto"/>
        <w:left w:val="none" w:sz="0" w:space="0" w:color="auto"/>
        <w:bottom w:val="none" w:sz="0" w:space="0" w:color="auto"/>
        <w:right w:val="none" w:sz="0" w:space="0" w:color="auto"/>
      </w:divBdr>
    </w:div>
    <w:div w:id="416294315">
      <w:bodyDiv w:val="1"/>
      <w:marLeft w:val="0"/>
      <w:marRight w:val="0"/>
      <w:marTop w:val="0"/>
      <w:marBottom w:val="0"/>
      <w:divBdr>
        <w:top w:val="none" w:sz="0" w:space="0" w:color="auto"/>
        <w:left w:val="none" w:sz="0" w:space="0" w:color="auto"/>
        <w:bottom w:val="none" w:sz="0" w:space="0" w:color="auto"/>
        <w:right w:val="none" w:sz="0" w:space="0" w:color="auto"/>
      </w:divBdr>
    </w:div>
    <w:div w:id="525560163">
      <w:bodyDiv w:val="1"/>
      <w:marLeft w:val="0"/>
      <w:marRight w:val="0"/>
      <w:marTop w:val="0"/>
      <w:marBottom w:val="0"/>
      <w:divBdr>
        <w:top w:val="none" w:sz="0" w:space="0" w:color="auto"/>
        <w:left w:val="none" w:sz="0" w:space="0" w:color="auto"/>
        <w:bottom w:val="none" w:sz="0" w:space="0" w:color="auto"/>
        <w:right w:val="none" w:sz="0" w:space="0" w:color="auto"/>
      </w:divBdr>
    </w:div>
    <w:div w:id="572855761">
      <w:bodyDiv w:val="1"/>
      <w:marLeft w:val="0"/>
      <w:marRight w:val="0"/>
      <w:marTop w:val="0"/>
      <w:marBottom w:val="0"/>
      <w:divBdr>
        <w:top w:val="none" w:sz="0" w:space="0" w:color="auto"/>
        <w:left w:val="none" w:sz="0" w:space="0" w:color="auto"/>
        <w:bottom w:val="none" w:sz="0" w:space="0" w:color="auto"/>
        <w:right w:val="none" w:sz="0" w:space="0" w:color="auto"/>
      </w:divBdr>
    </w:div>
    <w:div w:id="577010701">
      <w:bodyDiv w:val="1"/>
      <w:marLeft w:val="0"/>
      <w:marRight w:val="0"/>
      <w:marTop w:val="0"/>
      <w:marBottom w:val="0"/>
      <w:divBdr>
        <w:top w:val="none" w:sz="0" w:space="0" w:color="auto"/>
        <w:left w:val="none" w:sz="0" w:space="0" w:color="auto"/>
        <w:bottom w:val="none" w:sz="0" w:space="0" w:color="auto"/>
        <w:right w:val="none" w:sz="0" w:space="0" w:color="auto"/>
      </w:divBdr>
    </w:div>
    <w:div w:id="624123175">
      <w:bodyDiv w:val="1"/>
      <w:marLeft w:val="0"/>
      <w:marRight w:val="0"/>
      <w:marTop w:val="0"/>
      <w:marBottom w:val="0"/>
      <w:divBdr>
        <w:top w:val="none" w:sz="0" w:space="0" w:color="auto"/>
        <w:left w:val="none" w:sz="0" w:space="0" w:color="auto"/>
        <w:bottom w:val="none" w:sz="0" w:space="0" w:color="auto"/>
        <w:right w:val="none" w:sz="0" w:space="0" w:color="auto"/>
      </w:divBdr>
    </w:div>
    <w:div w:id="880560226">
      <w:bodyDiv w:val="1"/>
      <w:marLeft w:val="0"/>
      <w:marRight w:val="0"/>
      <w:marTop w:val="0"/>
      <w:marBottom w:val="0"/>
      <w:divBdr>
        <w:top w:val="none" w:sz="0" w:space="0" w:color="auto"/>
        <w:left w:val="none" w:sz="0" w:space="0" w:color="auto"/>
        <w:bottom w:val="none" w:sz="0" w:space="0" w:color="auto"/>
        <w:right w:val="none" w:sz="0" w:space="0" w:color="auto"/>
      </w:divBdr>
    </w:div>
    <w:div w:id="903490864">
      <w:bodyDiv w:val="1"/>
      <w:marLeft w:val="0"/>
      <w:marRight w:val="0"/>
      <w:marTop w:val="0"/>
      <w:marBottom w:val="0"/>
      <w:divBdr>
        <w:top w:val="none" w:sz="0" w:space="0" w:color="auto"/>
        <w:left w:val="none" w:sz="0" w:space="0" w:color="auto"/>
        <w:bottom w:val="none" w:sz="0" w:space="0" w:color="auto"/>
        <w:right w:val="none" w:sz="0" w:space="0" w:color="auto"/>
      </w:divBdr>
      <w:divsChild>
        <w:div w:id="509298881">
          <w:marLeft w:val="0"/>
          <w:marRight w:val="0"/>
          <w:marTop w:val="0"/>
          <w:marBottom w:val="0"/>
          <w:divBdr>
            <w:top w:val="none" w:sz="0" w:space="0" w:color="auto"/>
            <w:left w:val="none" w:sz="0" w:space="0" w:color="auto"/>
            <w:bottom w:val="none" w:sz="0" w:space="0" w:color="auto"/>
            <w:right w:val="none" w:sz="0" w:space="0" w:color="auto"/>
          </w:divBdr>
        </w:div>
        <w:div w:id="691536841">
          <w:marLeft w:val="0"/>
          <w:marRight w:val="0"/>
          <w:marTop w:val="0"/>
          <w:marBottom w:val="0"/>
          <w:divBdr>
            <w:top w:val="none" w:sz="0" w:space="0" w:color="auto"/>
            <w:left w:val="none" w:sz="0" w:space="0" w:color="auto"/>
            <w:bottom w:val="none" w:sz="0" w:space="0" w:color="auto"/>
            <w:right w:val="none" w:sz="0" w:space="0" w:color="auto"/>
          </w:divBdr>
        </w:div>
      </w:divsChild>
    </w:div>
    <w:div w:id="974221312">
      <w:bodyDiv w:val="1"/>
      <w:marLeft w:val="0"/>
      <w:marRight w:val="0"/>
      <w:marTop w:val="0"/>
      <w:marBottom w:val="0"/>
      <w:divBdr>
        <w:top w:val="none" w:sz="0" w:space="0" w:color="auto"/>
        <w:left w:val="none" w:sz="0" w:space="0" w:color="auto"/>
        <w:bottom w:val="none" w:sz="0" w:space="0" w:color="auto"/>
        <w:right w:val="none" w:sz="0" w:space="0" w:color="auto"/>
      </w:divBdr>
      <w:divsChild>
        <w:div w:id="112019184">
          <w:marLeft w:val="0"/>
          <w:marRight w:val="0"/>
          <w:marTop w:val="100"/>
          <w:marBottom w:val="100"/>
          <w:divBdr>
            <w:top w:val="none" w:sz="0" w:space="0" w:color="auto"/>
            <w:left w:val="none" w:sz="0" w:space="0" w:color="auto"/>
            <w:bottom w:val="none" w:sz="0" w:space="0" w:color="auto"/>
            <w:right w:val="none" w:sz="0" w:space="0" w:color="auto"/>
          </w:divBdr>
        </w:div>
        <w:div w:id="283923734">
          <w:marLeft w:val="0"/>
          <w:marRight w:val="0"/>
          <w:marTop w:val="100"/>
          <w:marBottom w:val="100"/>
          <w:divBdr>
            <w:top w:val="none" w:sz="0" w:space="0" w:color="auto"/>
            <w:left w:val="none" w:sz="0" w:space="0" w:color="auto"/>
            <w:bottom w:val="none" w:sz="0" w:space="0" w:color="auto"/>
            <w:right w:val="none" w:sz="0" w:space="0" w:color="auto"/>
          </w:divBdr>
        </w:div>
        <w:div w:id="899904677">
          <w:marLeft w:val="0"/>
          <w:marRight w:val="0"/>
          <w:marTop w:val="100"/>
          <w:marBottom w:val="100"/>
          <w:divBdr>
            <w:top w:val="none" w:sz="0" w:space="0" w:color="auto"/>
            <w:left w:val="none" w:sz="0" w:space="0" w:color="auto"/>
            <w:bottom w:val="none" w:sz="0" w:space="0" w:color="auto"/>
            <w:right w:val="none" w:sz="0" w:space="0" w:color="auto"/>
          </w:divBdr>
        </w:div>
        <w:div w:id="944382029">
          <w:marLeft w:val="0"/>
          <w:marRight w:val="0"/>
          <w:marTop w:val="100"/>
          <w:marBottom w:val="100"/>
          <w:divBdr>
            <w:top w:val="none" w:sz="0" w:space="0" w:color="auto"/>
            <w:left w:val="none" w:sz="0" w:space="0" w:color="auto"/>
            <w:bottom w:val="none" w:sz="0" w:space="0" w:color="auto"/>
            <w:right w:val="none" w:sz="0" w:space="0" w:color="auto"/>
          </w:divBdr>
        </w:div>
        <w:div w:id="1076514536">
          <w:marLeft w:val="0"/>
          <w:marRight w:val="0"/>
          <w:marTop w:val="100"/>
          <w:marBottom w:val="100"/>
          <w:divBdr>
            <w:top w:val="none" w:sz="0" w:space="0" w:color="auto"/>
            <w:left w:val="none" w:sz="0" w:space="0" w:color="auto"/>
            <w:bottom w:val="none" w:sz="0" w:space="0" w:color="auto"/>
            <w:right w:val="none" w:sz="0" w:space="0" w:color="auto"/>
          </w:divBdr>
        </w:div>
        <w:div w:id="1229147830">
          <w:marLeft w:val="0"/>
          <w:marRight w:val="0"/>
          <w:marTop w:val="100"/>
          <w:marBottom w:val="100"/>
          <w:divBdr>
            <w:top w:val="none" w:sz="0" w:space="0" w:color="auto"/>
            <w:left w:val="none" w:sz="0" w:space="0" w:color="auto"/>
            <w:bottom w:val="none" w:sz="0" w:space="0" w:color="auto"/>
            <w:right w:val="none" w:sz="0" w:space="0" w:color="auto"/>
          </w:divBdr>
        </w:div>
        <w:div w:id="1342778953">
          <w:marLeft w:val="0"/>
          <w:marRight w:val="0"/>
          <w:marTop w:val="100"/>
          <w:marBottom w:val="100"/>
          <w:divBdr>
            <w:top w:val="none" w:sz="0" w:space="0" w:color="auto"/>
            <w:left w:val="none" w:sz="0" w:space="0" w:color="auto"/>
            <w:bottom w:val="none" w:sz="0" w:space="0" w:color="auto"/>
            <w:right w:val="none" w:sz="0" w:space="0" w:color="auto"/>
          </w:divBdr>
        </w:div>
        <w:div w:id="1430344935">
          <w:marLeft w:val="0"/>
          <w:marRight w:val="0"/>
          <w:marTop w:val="100"/>
          <w:marBottom w:val="100"/>
          <w:divBdr>
            <w:top w:val="none" w:sz="0" w:space="0" w:color="auto"/>
            <w:left w:val="none" w:sz="0" w:space="0" w:color="auto"/>
            <w:bottom w:val="none" w:sz="0" w:space="0" w:color="auto"/>
            <w:right w:val="none" w:sz="0" w:space="0" w:color="auto"/>
          </w:divBdr>
        </w:div>
        <w:div w:id="1756047205">
          <w:marLeft w:val="0"/>
          <w:marRight w:val="0"/>
          <w:marTop w:val="100"/>
          <w:marBottom w:val="100"/>
          <w:divBdr>
            <w:top w:val="none" w:sz="0" w:space="0" w:color="auto"/>
            <w:left w:val="none" w:sz="0" w:space="0" w:color="auto"/>
            <w:bottom w:val="none" w:sz="0" w:space="0" w:color="auto"/>
            <w:right w:val="none" w:sz="0" w:space="0" w:color="auto"/>
          </w:divBdr>
        </w:div>
      </w:divsChild>
    </w:div>
    <w:div w:id="1002977023">
      <w:bodyDiv w:val="1"/>
      <w:marLeft w:val="0"/>
      <w:marRight w:val="0"/>
      <w:marTop w:val="0"/>
      <w:marBottom w:val="0"/>
      <w:divBdr>
        <w:top w:val="none" w:sz="0" w:space="0" w:color="auto"/>
        <w:left w:val="none" w:sz="0" w:space="0" w:color="auto"/>
        <w:bottom w:val="none" w:sz="0" w:space="0" w:color="auto"/>
        <w:right w:val="none" w:sz="0" w:space="0" w:color="auto"/>
      </w:divBdr>
    </w:div>
    <w:div w:id="1040517922">
      <w:bodyDiv w:val="1"/>
      <w:marLeft w:val="0"/>
      <w:marRight w:val="0"/>
      <w:marTop w:val="0"/>
      <w:marBottom w:val="0"/>
      <w:divBdr>
        <w:top w:val="none" w:sz="0" w:space="0" w:color="auto"/>
        <w:left w:val="none" w:sz="0" w:space="0" w:color="auto"/>
        <w:bottom w:val="none" w:sz="0" w:space="0" w:color="auto"/>
        <w:right w:val="none" w:sz="0" w:space="0" w:color="auto"/>
      </w:divBdr>
    </w:div>
    <w:div w:id="1150904710">
      <w:bodyDiv w:val="1"/>
      <w:marLeft w:val="0"/>
      <w:marRight w:val="0"/>
      <w:marTop w:val="0"/>
      <w:marBottom w:val="0"/>
      <w:divBdr>
        <w:top w:val="none" w:sz="0" w:space="0" w:color="auto"/>
        <w:left w:val="none" w:sz="0" w:space="0" w:color="auto"/>
        <w:bottom w:val="none" w:sz="0" w:space="0" w:color="auto"/>
        <w:right w:val="none" w:sz="0" w:space="0" w:color="auto"/>
      </w:divBdr>
    </w:div>
    <w:div w:id="1233345237">
      <w:bodyDiv w:val="1"/>
      <w:marLeft w:val="0"/>
      <w:marRight w:val="0"/>
      <w:marTop w:val="0"/>
      <w:marBottom w:val="0"/>
      <w:divBdr>
        <w:top w:val="none" w:sz="0" w:space="0" w:color="auto"/>
        <w:left w:val="none" w:sz="0" w:space="0" w:color="auto"/>
        <w:bottom w:val="none" w:sz="0" w:space="0" w:color="auto"/>
        <w:right w:val="none" w:sz="0" w:space="0" w:color="auto"/>
      </w:divBdr>
    </w:div>
    <w:div w:id="1656954588">
      <w:bodyDiv w:val="1"/>
      <w:marLeft w:val="0"/>
      <w:marRight w:val="0"/>
      <w:marTop w:val="0"/>
      <w:marBottom w:val="0"/>
      <w:divBdr>
        <w:top w:val="none" w:sz="0" w:space="0" w:color="auto"/>
        <w:left w:val="none" w:sz="0" w:space="0" w:color="auto"/>
        <w:bottom w:val="none" w:sz="0" w:space="0" w:color="auto"/>
        <w:right w:val="none" w:sz="0" w:space="0" w:color="auto"/>
      </w:divBdr>
      <w:divsChild>
        <w:div w:id="405425075">
          <w:marLeft w:val="0"/>
          <w:marRight w:val="0"/>
          <w:marTop w:val="0"/>
          <w:marBottom w:val="0"/>
          <w:divBdr>
            <w:top w:val="none" w:sz="0" w:space="0" w:color="auto"/>
            <w:left w:val="none" w:sz="0" w:space="0" w:color="auto"/>
            <w:bottom w:val="none" w:sz="0" w:space="0" w:color="auto"/>
            <w:right w:val="none" w:sz="0" w:space="0" w:color="auto"/>
          </w:divBdr>
        </w:div>
        <w:div w:id="507330723">
          <w:marLeft w:val="0"/>
          <w:marRight w:val="0"/>
          <w:marTop w:val="0"/>
          <w:marBottom w:val="0"/>
          <w:divBdr>
            <w:top w:val="none" w:sz="0" w:space="0" w:color="auto"/>
            <w:left w:val="none" w:sz="0" w:space="0" w:color="auto"/>
            <w:bottom w:val="none" w:sz="0" w:space="0" w:color="auto"/>
            <w:right w:val="none" w:sz="0" w:space="0" w:color="auto"/>
          </w:divBdr>
        </w:div>
        <w:div w:id="929319020">
          <w:marLeft w:val="0"/>
          <w:marRight w:val="0"/>
          <w:marTop w:val="0"/>
          <w:marBottom w:val="0"/>
          <w:divBdr>
            <w:top w:val="none" w:sz="0" w:space="0" w:color="auto"/>
            <w:left w:val="none" w:sz="0" w:space="0" w:color="auto"/>
            <w:bottom w:val="none" w:sz="0" w:space="0" w:color="auto"/>
            <w:right w:val="none" w:sz="0" w:space="0" w:color="auto"/>
          </w:divBdr>
        </w:div>
        <w:div w:id="2146509488">
          <w:marLeft w:val="0"/>
          <w:marRight w:val="0"/>
          <w:marTop w:val="0"/>
          <w:marBottom w:val="0"/>
          <w:divBdr>
            <w:top w:val="none" w:sz="0" w:space="0" w:color="auto"/>
            <w:left w:val="none" w:sz="0" w:space="0" w:color="auto"/>
            <w:bottom w:val="none" w:sz="0" w:space="0" w:color="auto"/>
            <w:right w:val="none" w:sz="0" w:space="0" w:color="auto"/>
          </w:divBdr>
        </w:div>
        <w:div w:id="1400127925">
          <w:marLeft w:val="0"/>
          <w:marRight w:val="0"/>
          <w:marTop w:val="0"/>
          <w:marBottom w:val="0"/>
          <w:divBdr>
            <w:top w:val="none" w:sz="0" w:space="0" w:color="auto"/>
            <w:left w:val="none" w:sz="0" w:space="0" w:color="auto"/>
            <w:bottom w:val="none" w:sz="0" w:space="0" w:color="auto"/>
            <w:right w:val="none" w:sz="0" w:space="0" w:color="auto"/>
          </w:divBdr>
        </w:div>
        <w:div w:id="1377239689">
          <w:marLeft w:val="0"/>
          <w:marRight w:val="0"/>
          <w:marTop w:val="0"/>
          <w:marBottom w:val="0"/>
          <w:divBdr>
            <w:top w:val="none" w:sz="0" w:space="0" w:color="auto"/>
            <w:left w:val="none" w:sz="0" w:space="0" w:color="auto"/>
            <w:bottom w:val="none" w:sz="0" w:space="0" w:color="auto"/>
            <w:right w:val="none" w:sz="0" w:space="0" w:color="auto"/>
          </w:divBdr>
        </w:div>
        <w:div w:id="1430850985">
          <w:marLeft w:val="0"/>
          <w:marRight w:val="0"/>
          <w:marTop w:val="0"/>
          <w:marBottom w:val="0"/>
          <w:divBdr>
            <w:top w:val="none" w:sz="0" w:space="0" w:color="auto"/>
            <w:left w:val="none" w:sz="0" w:space="0" w:color="auto"/>
            <w:bottom w:val="none" w:sz="0" w:space="0" w:color="auto"/>
            <w:right w:val="none" w:sz="0" w:space="0" w:color="auto"/>
          </w:divBdr>
        </w:div>
        <w:div w:id="223639515">
          <w:marLeft w:val="0"/>
          <w:marRight w:val="0"/>
          <w:marTop w:val="0"/>
          <w:marBottom w:val="0"/>
          <w:divBdr>
            <w:top w:val="none" w:sz="0" w:space="0" w:color="auto"/>
            <w:left w:val="none" w:sz="0" w:space="0" w:color="auto"/>
            <w:bottom w:val="none" w:sz="0" w:space="0" w:color="auto"/>
            <w:right w:val="none" w:sz="0" w:space="0" w:color="auto"/>
          </w:divBdr>
        </w:div>
        <w:div w:id="757600358">
          <w:marLeft w:val="0"/>
          <w:marRight w:val="0"/>
          <w:marTop w:val="0"/>
          <w:marBottom w:val="0"/>
          <w:divBdr>
            <w:top w:val="none" w:sz="0" w:space="0" w:color="auto"/>
            <w:left w:val="none" w:sz="0" w:space="0" w:color="auto"/>
            <w:bottom w:val="none" w:sz="0" w:space="0" w:color="auto"/>
            <w:right w:val="none" w:sz="0" w:space="0" w:color="auto"/>
          </w:divBdr>
        </w:div>
        <w:div w:id="380635360">
          <w:marLeft w:val="0"/>
          <w:marRight w:val="0"/>
          <w:marTop w:val="0"/>
          <w:marBottom w:val="0"/>
          <w:divBdr>
            <w:top w:val="none" w:sz="0" w:space="0" w:color="auto"/>
            <w:left w:val="none" w:sz="0" w:space="0" w:color="auto"/>
            <w:bottom w:val="none" w:sz="0" w:space="0" w:color="auto"/>
            <w:right w:val="none" w:sz="0" w:space="0" w:color="auto"/>
          </w:divBdr>
        </w:div>
        <w:div w:id="338701640">
          <w:marLeft w:val="0"/>
          <w:marRight w:val="0"/>
          <w:marTop w:val="0"/>
          <w:marBottom w:val="0"/>
          <w:divBdr>
            <w:top w:val="none" w:sz="0" w:space="0" w:color="auto"/>
            <w:left w:val="none" w:sz="0" w:space="0" w:color="auto"/>
            <w:bottom w:val="none" w:sz="0" w:space="0" w:color="auto"/>
            <w:right w:val="none" w:sz="0" w:space="0" w:color="auto"/>
          </w:divBdr>
        </w:div>
        <w:div w:id="1029601891">
          <w:marLeft w:val="0"/>
          <w:marRight w:val="0"/>
          <w:marTop w:val="0"/>
          <w:marBottom w:val="0"/>
          <w:divBdr>
            <w:top w:val="none" w:sz="0" w:space="0" w:color="auto"/>
            <w:left w:val="none" w:sz="0" w:space="0" w:color="auto"/>
            <w:bottom w:val="none" w:sz="0" w:space="0" w:color="auto"/>
            <w:right w:val="none" w:sz="0" w:space="0" w:color="auto"/>
          </w:divBdr>
        </w:div>
        <w:div w:id="1368022233">
          <w:marLeft w:val="0"/>
          <w:marRight w:val="0"/>
          <w:marTop w:val="0"/>
          <w:marBottom w:val="0"/>
          <w:divBdr>
            <w:top w:val="none" w:sz="0" w:space="0" w:color="auto"/>
            <w:left w:val="none" w:sz="0" w:space="0" w:color="auto"/>
            <w:bottom w:val="none" w:sz="0" w:space="0" w:color="auto"/>
            <w:right w:val="none" w:sz="0" w:space="0" w:color="auto"/>
          </w:divBdr>
        </w:div>
        <w:div w:id="519664179">
          <w:marLeft w:val="0"/>
          <w:marRight w:val="0"/>
          <w:marTop w:val="0"/>
          <w:marBottom w:val="0"/>
          <w:divBdr>
            <w:top w:val="none" w:sz="0" w:space="0" w:color="auto"/>
            <w:left w:val="none" w:sz="0" w:space="0" w:color="auto"/>
            <w:bottom w:val="none" w:sz="0" w:space="0" w:color="auto"/>
            <w:right w:val="none" w:sz="0" w:space="0" w:color="auto"/>
          </w:divBdr>
        </w:div>
        <w:div w:id="1230308950">
          <w:marLeft w:val="0"/>
          <w:marRight w:val="0"/>
          <w:marTop w:val="0"/>
          <w:marBottom w:val="0"/>
          <w:divBdr>
            <w:top w:val="none" w:sz="0" w:space="0" w:color="auto"/>
            <w:left w:val="none" w:sz="0" w:space="0" w:color="auto"/>
            <w:bottom w:val="none" w:sz="0" w:space="0" w:color="auto"/>
            <w:right w:val="none" w:sz="0" w:space="0" w:color="auto"/>
          </w:divBdr>
        </w:div>
        <w:div w:id="427191971">
          <w:marLeft w:val="0"/>
          <w:marRight w:val="0"/>
          <w:marTop w:val="0"/>
          <w:marBottom w:val="0"/>
          <w:divBdr>
            <w:top w:val="none" w:sz="0" w:space="0" w:color="auto"/>
            <w:left w:val="none" w:sz="0" w:space="0" w:color="auto"/>
            <w:bottom w:val="none" w:sz="0" w:space="0" w:color="auto"/>
            <w:right w:val="none" w:sz="0" w:space="0" w:color="auto"/>
          </w:divBdr>
        </w:div>
        <w:div w:id="5714594">
          <w:marLeft w:val="0"/>
          <w:marRight w:val="0"/>
          <w:marTop w:val="0"/>
          <w:marBottom w:val="0"/>
          <w:divBdr>
            <w:top w:val="none" w:sz="0" w:space="0" w:color="auto"/>
            <w:left w:val="none" w:sz="0" w:space="0" w:color="auto"/>
            <w:bottom w:val="none" w:sz="0" w:space="0" w:color="auto"/>
            <w:right w:val="none" w:sz="0" w:space="0" w:color="auto"/>
          </w:divBdr>
        </w:div>
        <w:div w:id="428502290">
          <w:marLeft w:val="0"/>
          <w:marRight w:val="0"/>
          <w:marTop w:val="0"/>
          <w:marBottom w:val="0"/>
          <w:divBdr>
            <w:top w:val="none" w:sz="0" w:space="0" w:color="auto"/>
            <w:left w:val="none" w:sz="0" w:space="0" w:color="auto"/>
            <w:bottom w:val="none" w:sz="0" w:space="0" w:color="auto"/>
            <w:right w:val="none" w:sz="0" w:space="0" w:color="auto"/>
          </w:divBdr>
        </w:div>
        <w:div w:id="1833522735">
          <w:marLeft w:val="0"/>
          <w:marRight w:val="0"/>
          <w:marTop w:val="0"/>
          <w:marBottom w:val="0"/>
          <w:divBdr>
            <w:top w:val="none" w:sz="0" w:space="0" w:color="auto"/>
            <w:left w:val="none" w:sz="0" w:space="0" w:color="auto"/>
            <w:bottom w:val="none" w:sz="0" w:space="0" w:color="auto"/>
            <w:right w:val="none" w:sz="0" w:space="0" w:color="auto"/>
          </w:divBdr>
        </w:div>
        <w:div w:id="1937014762">
          <w:marLeft w:val="0"/>
          <w:marRight w:val="0"/>
          <w:marTop w:val="0"/>
          <w:marBottom w:val="0"/>
          <w:divBdr>
            <w:top w:val="none" w:sz="0" w:space="0" w:color="auto"/>
            <w:left w:val="none" w:sz="0" w:space="0" w:color="auto"/>
            <w:bottom w:val="none" w:sz="0" w:space="0" w:color="auto"/>
            <w:right w:val="none" w:sz="0" w:space="0" w:color="auto"/>
          </w:divBdr>
        </w:div>
        <w:div w:id="1403720603">
          <w:marLeft w:val="0"/>
          <w:marRight w:val="0"/>
          <w:marTop w:val="0"/>
          <w:marBottom w:val="0"/>
          <w:divBdr>
            <w:top w:val="none" w:sz="0" w:space="0" w:color="auto"/>
            <w:left w:val="none" w:sz="0" w:space="0" w:color="auto"/>
            <w:bottom w:val="none" w:sz="0" w:space="0" w:color="auto"/>
            <w:right w:val="none" w:sz="0" w:space="0" w:color="auto"/>
          </w:divBdr>
        </w:div>
        <w:div w:id="507253231">
          <w:marLeft w:val="0"/>
          <w:marRight w:val="0"/>
          <w:marTop w:val="0"/>
          <w:marBottom w:val="0"/>
          <w:divBdr>
            <w:top w:val="none" w:sz="0" w:space="0" w:color="auto"/>
            <w:left w:val="none" w:sz="0" w:space="0" w:color="auto"/>
            <w:bottom w:val="none" w:sz="0" w:space="0" w:color="auto"/>
            <w:right w:val="none" w:sz="0" w:space="0" w:color="auto"/>
          </w:divBdr>
        </w:div>
        <w:div w:id="2085372345">
          <w:marLeft w:val="0"/>
          <w:marRight w:val="0"/>
          <w:marTop w:val="0"/>
          <w:marBottom w:val="0"/>
          <w:divBdr>
            <w:top w:val="none" w:sz="0" w:space="0" w:color="auto"/>
            <w:left w:val="none" w:sz="0" w:space="0" w:color="auto"/>
            <w:bottom w:val="none" w:sz="0" w:space="0" w:color="auto"/>
            <w:right w:val="none" w:sz="0" w:space="0" w:color="auto"/>
          </w:divBdr>
        </w:div>
        <w:div w:id="1830754648">
          <w:marLeft w:val="0"/>
          <w:marRight w:val="0"/>
          <w:marTop w:val="0"/>
          <w:marBottom w:val="0"/>
          <w:divBdr>
            <w:top w:val="none" w:sz="0" w:space="0" w:color="auto"/>
            <w:left w:val="none" w:sz="0" w:space="0" w:color="auto"/>
            <w:bottom w:val="none" w:sz="0" w:space="0" w:color="auto"/>
            <w:right w:val="none" w:sz="0" w:space="0" w:color="auto"/>
          </w:divBdr>
        </w:div>
        <w:div w:id="1328442256">
          <w:marLeft w:val="0"/>
          <w:marRight w:val="0"/>
          <w:marTop w:val="0"/>
          <w:marBottom w:val="0"/>
          <w:divBdr>
            <w:top w:val="none" w:sz="0" w:space="0" w:color="auto"/>
            <w:left w:val="none" w:sz="0" w:space="0" w:color="auto"/>
            <w:bottom w:val="none" w:sz="0" w:space="0" w:color="auto"/>
            <w:right w:val="none" w:sz="0" w:space="0" w:color="auto"/>
          </w:divBdr>
        </w:div>
        <w:div w:id="448934408">
          <w:marLeft w:val="0"/>
          <w:marRight w:val="0"/>
          <w:marTop w:val="0"/>
          <w:marBottom w:val="0"/>
          <w:divBdr>
            <w:top w:val="none" w:sz="0" w:space="0" w:color="auto"/>
            <w:left w:val="none" w:sz="0" w:space="0" w:color="auto"/>
            <w:bottom w:val="none" w:sz="0" w:space="0" w:color="auto"/>
            <w:right w:val="none" w:sz="0" w:space="0" w:color="auto"/>
          </w:divBdr>
        </w:div>
      </w:divsChild>
    </w:div>
    <w:div w:id="1672948861">
      <w:bodyDiv w:val="1"/>
      <w:marLeft w:val="0"/>
      <w:marRight w:val="0"/>
      <w:marTop w:val="0"/>
      <w:marBottom w:val="0"/>
      <w:divBdr>
        <w:top w:val="none" w:sz="0" w:space="0" w:color="auto"/>
        <w:left w:val="none" w:sz="0" w:space="0" w:color="auto"/>
        <w:bottom w:val="none" w:sz="0" w:space="0" w:color="auto"/>
        <w:right w:val="none" w:sz="0" w:space="0" w:color="auto"/>
      </w:divBdr>
      <w:divsChild>
        <w:div w:id="2108429945">
          <w:marLeft w:val="0"/>
          <w:marRight w:val="0"/>
          <w:marTop w:val="0"/>
          <w:marBottom w:val="0"/>
          <w:divBdr>
            <w:top w:val="none" w:sz="0" w:space="0" w:color="auto"/>
            <w:left w:val="none" w:sz="0" w:space="0" w:color="auto"/>
            <w:bottom w:val="none" w:sz="0" w:space="0" w:color="auto"/>
            <w:right w:val="none" w:sz="0" w:space="0" w:color="auto"/>
          </w:divBdr>
        </w:div>
        <w:div w:id="1084909660">
          <w:marLeft w:val="0"/>
          <w:marRight w:val="0"/>
          <w:marTop w:val="0"/>
          <w:marBottom w:val="0"/>
          <w:divBdr>
            <w:top w:val="none" w:sz="0" w:space="0" w:color="auto"/>
            <w:left w:val="none" w:sz="0" w:space="0" w:color="auto"/>
            <w:bottom w:val="none" w:sz="0" w:space="0" w:color="auto"/>
            <w:right w:val="none" w:sz="0" w:space="0" w:color="auto"/>
          </w:divBdr>
        </w:div>
        <w:div w:id="1062751239">
          <w:marLeft w:val="0"/>
          <w:marRight w:val="0"/>
          <w:marTop w:val="0"/>
          <w:marBottom w:val="0"/>
          <w:divBdr>
            <w:top w:val="none" w:sz="0" w:space="0" w:color="auto"/>
            <w:left w:val="none" w:sz="0" w:space="0" w:color="auto"/>
            <w:bottom w:val="none" w:sz="0" w:space="0" w:color="auto"/>
            <w:right w:val="none" w:sz="0" w:space="0" w:color="auto"/>
          </w:divBdr>
        </w:div>
        <w:div w:id="959847372">
          <w:marLeft w:val="0"/>
          <w:marRight w:val="0"/>
          <w:marTop w:val="0"/>
          <w:marBottom w:val="0"/>
          <w:divBdr>
            <w:top w:val="none" w:sz="0" w:space="0" w:color="auto"/>
            <w:left w:val="none" w:sz="0" w:space="0" w:color="auto"/>
            <w:bottom w:val="none" w:sz="0" w:space="0" w:color="auto"/>
            <w:right w:val="none" w:sz="0" w:space="0" w:color="auto"/>
          </w:divBdr>
        </w:div>
        <w:div w:id="1737509525">
          <w:marLeft w:val="0"/>
          <w:marRight w:val="0"/>
          <w:marTop w:val="0"/>
          <w:marBottom w:val="0"/>
          <w:divBdr>
            <w:top w:val="none" w:sz="0" w:space="0" w:color="auto"/>
            <w:left w:val="none" w:sz="0" w:space="0" w:color="auto"/>
            <w:bottom w:val="none" w:sz="0" w:space="0" w:color="auto"/>
            <w:right w:val="none" w:sz="0" w:space="0" w:color="auto"/>
          </w:divBdr>
        </w:div>
        <w:div w:id="1276209869">
          <w:marLeft w:val="0"/>
          <w:marRight w:val="0"/>
          <w:marTop w:val="0"/>
          <w:marBottom w:val="0"/>
          <w:divBdr>
            <w:top w:val="none" w:sz="0" w:space="0" w:color="auto"/>
            <w:left w:val="none" w:sz="0" w:space="0" w:color="auto"/>
            <w:bottom w:val="none" w:sz="0" w:space="0" w:color="auto"/>
            <w:right w:val="none" w:sz="0" w:space="0" w:color="auto"/>
          </w:divBdr>
        </w:div>
        <w:div w:id="1537961165">
          <w:marLeft w:val="0"/>
          <w:marRight w:val="0"/>
          <w:marTop w:val="0"/>
          <w:marBottom w:val="0"/>
          <w:divBdr>
            <w:top w:val="none" w:sz="0" w:space="0" w:color="auto"/>
            <w:left w:val="none" w:sz="0" w:space="0" w:color="auto"/>
            <w:bottom w:val="none" w:sz="0" w:space="0" w:color="auto"/>
            <w:right w:val="none" w:sz="0" w:space="0" w:color="auto"/>
          </w:divBdr>
        </w:div>
        <w:div w:id="784614341">
          <w:marLeft w:val="0"/>
          <w:marRight w:val="0"/>
          <w:marTop w:val="0"/>
          <w:marBottom w:val="0"/>
          <w:divBdr>
            <w:top w:val="none" w:sz="0" w:space="0" w:color="auto"/>
            <w:left w:val="none" w:sz="0" w:space="0" w:color="auto"/>
            <w:bottom w:val="none" w:sz="0" w:space="0" w:color="auto"/>
            <w:right w:val="none" w:sz="0" w:space="0" w:color="auto"/>
          </w:divBdr>
        </w:div>
        <w:div w:id="2070687181">
          <w:marLeft w:val="0"/>
          <w:marRight w:val="0"/>
          <w:marTop w:val="0"/>
          <w:marBottom w:val="0"/>
          <w:divBdr>
            <w:top w:val="none" w:sz="0" w:space="0" w:color="auto"/>
            <w:left w:val="none" w:sz="0" w:space="0" w:color="auto"/>
            <w:bottom w:val="none" w:sz="0" w:space="0" w:color="auto"/>
            <w:right w:val="none" w:sz="0" w:space="0" w:color="auto"/>
          </w:divBdr>
        </w:div>
        <w:div w:id="589774219">
          <w:marLeft w:val="0"/>
          <w:marRight w:val="0"/>
          <w:marTop w:val="0"/>
          <w:marBottom w:val="0"/>
          <w:divBdr>
            <w:top w:val="none" w:sz="0" w:space="0" w:color="auto"/>
            <w:left w:val="none" w:sz="0" w:space="0" w:color="auto"/>
            <w:bottom w:val="none" w:sz="0" w:space="0" w:color="auto"/>
            <w:right w:val="none" w:sz="0" w:space="0" w:color="auto"/>
          </w:divBdr>
        </w:div>
        <w:div w:id="190609871">
          <w:marLeft w:val="0"/>
          <w:marRight w:val="0"/>
          <w:marTop w:val="0"/>
          <w:marBottom w:val="0"/>
          <w:divBdr>
            <w:top w:val="none" w:sz="0" w:space="0" w:color="auto"/>
            <w:left w:val="none" w:sz="0" w:space="0" w:color="auto"/>
            <w:bottom w:val="none" w:sz="0" w:space="0" w:color="auto"/>
            <w:right w:val="none" w:sz="0" w:space="0" w:color="auto"/>
          </w:divBdr>
        </w:div>
        <w:div w:id="722100395">
          <w:marLeft w:val="0"/>
          <w:marRight w:val="0"/>
          <w:marTop w:val="0"/>
          <w:marBottom w:val="0"/>
          <w:divBdr>
            <w:top w:val="none" w:sz="0" w:space="0" w:color="auto"/>
            <w:left w:val="none" w:sz="0" w:space="0" w:color="auto"/>
            <w:bottom w:val="none" w:sz="0" w:space="0" w:color="auto"/>
            <w:right w:val="none" w:sz="0" w:space="0" w:color="auto"/>
          </w:divBdr>
        </w:div>
        <w:div w:id="460610607">
          <w:marLeft w:val="0"/>
          <w:marRight w:val="0"/>
          <w:marTop w:val="0"/>
          <w:marBottom w:val="0"/>
          <w:divBdr>
            <w:top w:val="none" w:sz="0" w:space="0" w:color="auto"/>
            <w:left w:val="none" w:sz="0" w:space="0" w:color="auto"/>
            <w:bottom w:val="none" w:sz="0" w:space="0" w:color="auto"/>
            <w:right w:val="none" w:sz="0" w:space="0" w:color="auto"/>
          </w:divBdr>
        </w:div>
        <w:div w:id="623730371">
          <w:marLeft w:val="0"/>
          <w:marRight w:val="0"/>
          <w:marTop w:val="0"/>
          <w:marBottom w:val="0"/>
          <w:divBdr>
            <w:top w:val="none" w:sz="0" w:space="0" w:color="auto"/>
            <w:left w:val="none" w:sz="0" w:space="0" w:color="auto"/>
            <w:bottom w:val="none" w:sz="0" w:space="0" w:color="auto"/>
            <w:right w:val="none" w:sz="0" w:space="0" w:color="auto"/>
          </w:divBdr>
        </w:div>
        <w:div w:id="310986084">
          <w:marLeft w:val="0"/>
          <w:marRight w:val="0"/>
          <w:marTop w:val="0"/>
          <w:marBottom w:val="0"/>
          <w:divBdr>
            <w:top w:val="none" w:sz="0" w:space="0" w:color="auto"/>
            <w:left w:val="none" w:sz="0" w:space="0" w:color="auto"/>
            <w:bottom w:val="none" w:sz="0" w:space="0" w:color="auto"/>
            <w:right w:val="none" w:sz="0" w:space="0" w:color="auto"/>
          </w:divBdr>
        </w:div>
        <w:div w:id="405878665">
          <w:marLeft w:val="0"/>
          <w:marRight w:val="0"/>
          <w:marTop w:val="0"/>
          <w:marBottom w:val="0"/>
          <w:divBdr>
            <w:top w:val="none" w:sz="0" w:space="0" w:color="auto"/>
            <w:left w:val="none" w:sz="0" w:space="0" w:color="auto"/>
            <w:bottom w:val="none" w:sz="0" w:space="0" w:color="auto"/>
            <w:right w:val="none" w:sz="0" w:space="0" w:color="auto"/>
          </w:divBdr>
        </w:div>
        <w:div w:id="301934700">
          <w:marLeft w:val="0"/>
          <w:marRight w:val="0"/>
          <w:marTop w:val="0"/>
          <w:marBottom w:val="0"/>
          <w:divBdr>
            <w:top w:val="none" w:sz="0" w:space="0" w:color="auto"/>
            <w:left w:val="none" w:sz="0" w:space="0" w:color="auto"/>
            <w:bottom w:val="none" w:sz="0" w:space="0" w:color="auto"/>
            <w:right w:val="none" w:sz="0" w:space="0" w:color="auto"/>
          </w:divBdr>
        </w:div>
        <w:div w:id="1507935250">
          <w:marLeft w:val="0"/>
          <w:marRight w:val="0"/>
          <w:marTop w:val="0"/>
          <w:marBottom w:val="0"/>
          <w:divBdr>
            <w:top w:val="none" w:sz="0" w:space="0" w:color="auto"/>
            <w:left w:val="none" w:sz="0" w:space="0" w:color="auto"/>
            <w:bottom w:val="none" w:sz="0" w:space="0" w:color="auto"/>
            <w:right w:val="none" w:sz="0" w:space="0" w:color="auto"/>
          </w:divBdr>
        </w:div>
        <w:div w:id="1936329061">
          <w:marLeft w:val="0"/>
          <w:marRight w:val="0"/>
          <w:marTop w:val="0"/>
          <w:marBottom w:val="0"/>
          <w:divBdr>
            <w:top w:val="none" w:sz="0" w:space="0" w:color="auto"/>
            <w:left w:val="none" w:sz="0" w:space="0" w:color="auto"/>
            <w:bottom w:val="none" w:sz="0" w:space="0" w:color="auto"/>
            <w:right w:val="none" w:sz="0" w:space="0" w:color="auto"/>
          </w:divBdr>
        </w:div>
        <w:div w:id="1889608377">
          <w:marLeft w:val="0"/>
          <w:marRight w:val="0"/>
          <w:marTop w:val="0"/>
          <w:marBottom w:val="0"/>
          <w:divBdr>
            <w:top w:val="none" w:sz="0" w:space="0" w:color="auto"/>
            <w:left w:val="none" w:sz="0" w:space="0" w:color="auto"/>
            <w:bottom w:val="none" w:sz="0" w:space="0" w:color="auto"/>
            <w:right w:val="none" w:sz="0" w:space="0" w:color="auto"/>
          </w:divBdr>
        </w:div>
        <w:div w:id="499586745">
          <w:marLeft w:val="0"/>
          <w:marRight w:val="0"/>
          <w:marTop w:val="0"/>
          <w:marBottom w:val="0"/>
          <w:divBdr>
            <w:top w:val="none" w:sz="0" w:space="0" w:color="auto"/>
            <w:left w:val="none" w:sz="0" w:space="0" w:color="auto"/>
            <w:bottom w:val="none" w:sz="0" w:space="0" w:color="auto"/>
            <w:right w:val="none" w:sz="0" w:space="0" w:color="auto"/>
          </w:divBdr>
        </w:div>
        <w:div w:id="1142187355">
          <w:marLeft w:val="0"/>
          <w:marRight w:val="0"/>
          <w:marTop w:val="0"/>
          <w:marBottom w:val="0"/>
          <w:divBdr>
            <w:top w:val="none" w:sz="0" w:space="0" w:color="auto"/>
            <w:left w:val="none" w:sz="0" w:space="0" w:color="auto"/>
            <w:bottom w:val="none" w:sz="0" w:space="0" w:color="auto"/>
            <w:right w:val="none" w:sz="0" w:space="0" w:color="auto"/>
          </w:divBdr>
        </w:div>
        <w:div w:id="1985887949">
          <w:marLeft w:val="0"/>
          <w:marRight w:val="0"/>
          <w:marTop w:val="0"/>
          <w:marBottom w:val="0"/>
          <w:divBdr>
            <w:top w:val="none" w:sz="0" w:space="0" w:color="auto"/>
            <w:left w:val="none" w:sz="0" w:space="0" w:color="auto"/>
            <w:bottom w:val="none" w:sz="0" w:space="0" w:color="auto"/>
            <w:right w:val="none" w:sz="0" w:space="0" w:color="auto"/>
          </w:divBdr>
        </w:div>
        <w:div w:id="1226451915">
          <w:marLeft w:val="0"/>
          <w:marRight w:val="0"/>
          <w:marTop w:val="0"/>
          <w:marBottom w:val="0"/>
          <w:divBdr>
            <w:top w:val="none" w:sz="0" w:space="0" w:color="auto"/>
            <w:left w:val="none" w:sz="0" w:space="0" w:color="auto"/>
            <w:bottom w:val="none" w:sz="0" w:space="0" w:color="auto"/>
            <w:right w:val="none" w:sz="0" w:space="0" w:color="auto"/>
          </w:divBdr>
        </w:div>
        <w:div w:id="295725068">
          <w:marLeft w:val="0"/>
          <w:marRight w:val="0"/>
          <w:marTop w:val="0"/>
          <w:marBottom w:val="0"/>
          <w:divBdr>
            <w:top w:val="none" w:sz="0" w:space="0" w:color="auto"/>
            <w:left w:val="none" w:sz="0" w:space="0" w:color="auto"/>
            <w:bottom w:val="none" w:sz="0" w:space="0" w:color="auto"/>
            <w:right w:val="none" w:sz="0" w:space="0" w:color="auto"/>
          </w:divBdr>
        </w:div>
        <w:div w:id="923338525">
          <w:marLeft w:val="0"/>
          <w:marRight w:val="0"/>
          <w:marTop w:val="0"/>
          <w:marBottom w:val="0"/>
          <w:divBdr>
            <w:top w:val="none" w:sz="0" w:space="0" w:color="auto"/>
            <w:left w:val="none" w:sz="0" w:space="0" w:color="auto"/>
            <w:bottom w:val="none" w:sz="0" w:space="0" w:color="auto"/>
            <w:right w:val="none" w:sz="0" w:space="0" w:color="auto"/>
          </w:divBdr>
        </w:div>
        <w:div w:id="1737316022">
          <w:marLeft w:val="0"/>
          <w:marRight w:val="0"/>
          <w:marTop w:val="0"/>
          <w:marBottom w:val="0"/>
          <w:divBdr>
            <w:top w:val="none" w:sz="0" w:space="0" w:color="auto"/>
            <w:left w:val="none" w:sz="0" w:space="0" w:color="auto"/>
            <w:bottom w:val="none" w:sz="0" w:space="0" w:color="auto"/>
            <w:right w:val="none" w:sz="0" w:space="0" w:color="auto"/>
          </w:divBdr>
        </w:div>
        <w:div w:id="795101171">
          <w:marLeft w:val="0"/>
          <w:marRight w:val="0"/>
          <w:marTop w:val="0"/>
          <w:marBottom w:val="0"/>
          <w:divBdr>
            <w:top w:val="none" w:sz="0" w:space="0" w:color="auto"/>
            <w:left w:val="none" w:sz="0" w:space="0" w:color="auto"/>
            <w:bottom w:val="none" w:sz="0" w:space="0" w:color="auto"/>
            <w:right w:val="none" w:sz="0" w:space="0" w:color="auto"/>
          </w:divBdr>
        </w:div>
        <w:div w:id="1169952563">
          <w:marLeft w:val="0"/>
          <w:marRight w:val="0"/>
          <w:marTop w:val="0"/>
          <w:marBottom w:val="0"/>
          <w:divBdr>
            <w:top w:val="none" w:sz="0" w:space="0" w:color="auto"/>
            <w:left w:val="none" w:sz="0" w:space="0" w:color="auto"/>
            <w:bottom w:val="none" w:sz="0" w:space="0" w:color="auto"/>
            <w:right w:val="none" w:sz="0" w:space="0" w:color="auto"/>
          </w:divBdr>
        </w:div>
        <w:div w:id="394469980">
          <w:marLeft w:val="0"/>
          <w:marRight w:val="0"/>
          <w:marTop w:val="0"/>
          <w:marBottom w:val="0"/>
          <w:divBdr>
            <w:top w:val="none" w:sz="0" w:space="0" w:color="auto"/>
            <w:left w:val="none" w:sz="0" w:space="0" w:color="auto"/>
            <w:bottom w:val="none" w:sz="0" w:space="0" w:color="auto"/>
            <w:right w:val="none" w:sz="0" w:space="0" w:color="auto"/>
          </w:divBdr>
        </w:div>
        <w:div w:id="759911178">
          <w:marLeft w:val="0"/>
          <w:marRight w:val="0"/>
          <w:marTop w:val="0"/>
          <w:marBottom w:val="0"/>
          <w:divBdr>
            <w:top w:val="none" w:sz="0" w:space="0" w:color="auto"/>
            <w:left w:val="none" w:sz="0" w:space="0" w:color="auto"/>
            <w:bottom w:val="none" w:sz="0" w:space="0" w:color="auto"/>
            <w:right w:val="none" w:sz="0" w:space="0" w:color="auto"/>
          </w:divBdr>
        </w:div>
        <w:div w:id="955334636">
          <w:marLeft w:val="0"/>
          <w:marRight w:val="0"/>
          <w:marTop w:val="0"/>
          <w:marBottom w:val="0"/>
          <w:divBdr>
            <w:top w:val="none" w:sz="0" w:space="0" w:color="auto"/>
            <w:left w:val="none" w:sz="0" w:space="0" w:color="auto"/>
            <w:bottom w:val="none" w:sz="0" w:space="0" w:color="auto"/>
            <w:right w:val="none" w:sz="0" w:space="0" w:color="auto"/>
          </w:divBdr>
        </w:div>
        <w:div w:id="1386298591">
          <w:marLeft w:val="0"/>
          <w:marRight w:val="0"/>
          <w:marTop w:val="0"/>
          <w:marBottom w:val="0"/>
          <w:divBdr>
            <w:top w:val="none" w:sz="0" w:space="0" w:color="auto"/>
            <w:left w:val="none" w:sz="0" w:space="0" w:color="auto"/>
            <w:bottom w:val="none" w:sz="0" w:space="0" w:color="auto"/>
            <w:right w:val="none" w:sz="0" w:space="0" w:color="auto"/>
          </w:divBdr>
        </w:div>
        <w:div w:id="1445231298">
          <w:marLeft w:val="0"/>
          <w:marRight w:val="0"/>
          <w:marTop w:val="0"/>
          <w:marBottom w:val="0"/>
          <w:divBdr>
            <w:top w:val="none" w:sz="0" w:space="0" w:color="auto"/>
            <w:left w:val="none" w:sz="0" w:space="0" w:color="auto"/>
            <w:bottom w:val="none" w:sz="0" w:space="0" w:color="auto"/>
            <w:right w:val="none" w:sz="0" w:space="0" w:color="auto"/>
          </w:divBdr>
        </w:div>
        <w:div w:id="600837680">
          <w:marLeft w:val="0"/>
          <w:marRight w:val="0"/>
          <w:marTop w:val="0"/>
          <w:marBottom w:val="0"/>
          <w:divBdr>
            <w:top w:val="none" w:sz="0" w:space="0" w:color="auto"/>
            <w:left w:val="none" w:sz="0" w:space="0" w:color="auto"/>
            <w:bottom w:val="none" w:sz="0" w:space="0" w:color="auto"/>
            <w:right w:val="none" w:sz="0" w:space="0" w:color="auto"/>
          </w:divBdr>
        </w:div>
        <w:div w:id="1553879144">
          <w:marLeft w:val="0"/>
          <w:marRight w:val="0"/>
          <w:marTop w:val="0"/>
          <w:marBottom w:val="0"/>
          <w:divBdr>
            <w:top w:val="none" w:sz="0" w:space="0" w:color="auto"/>
            <w:left w:val="none" w:sz="0" w:space="0" w:color="auto"/>
            <w:bottom w:val="none" w:sz="0" w:space="0" w:color="auto"/>
            <w:right w:val="none" w:sz="0" w:space="0" w:color="auto"/>
          </w:divBdr>
        </w:div>
        <w:div w:id="1345742840">
          <w:marLeft w:val="0"/>
          <w:marRight w:val="0"/>
          <w:marTop w:val="0"/>
          <w:marBottom w:val="0"/>
          <w:divBdr>
            <w:top w:val="none" w:sz="0" w:space="0" w:color="auto"/>
            <w:left w:val="none" w:sz="0" w:space="0" w:color="auto"/>
            <w:bottom w:val="none" w:sz="0" w:space="0" w:color="auto"/>
            <w:right w:val="none" w:sz="0" w:space="0" w:color="auto"/>
          </w:divBdr>
        </w:div>
        <w:div w:id="1011108139">
          <w:marLeft w:val="0"/>
          <w:marRight w:val="0"/>
          <w:marTop w:val="0"/>
          <w:marBottom w:val="0"/>
          <w:divBdr>
            <w:top w:val="none" w:sz="0" w:space="0" w:color="auto"/>
            <w:left w:val="none" w:sz="0" w:space="0" w:color="auto"/>
            <w:bottom w:val="none" w:sz="0" w:space="0" w:color="auto"/>
            <w:right w:val="none" w:sz="0" w:space="0" w:color="auto"/>
          </w:divBdr>
        </w:div>
        <w:div w:id="297297216">
          <w:marLeft w:val="0"/>
          <w:marRight w:val="0"/>
          <w:marTop w:val="0"/>
          <w:marBottom w:val="0"/>
          <w:divBdr>
            <w:top w:val="none" w:sz="0" w:space="0" w:color="auto"/>
            <w:left w:val="none" w:sz="0" w:space="0" w:color="auto"/>
            <w:bottom w:val="none" w:sz="0" w:space="0" w:color="auto"/>
            <w:right w:val="none" w:sz="0" w:space="0" w:color="auto"/>
          </w:divBdr>
        </w:div>
        <w:div w:id="2026321551">
          <w:marLeft w:val="0"/>
          <w:marRight w:val="0"/>
          <w:marTop w:val="0"/>
          <w:marBottom w:val="0"/>
          <w:divBdr>
            <w:top w:val="none" w:sz="0" w:space="0" w:color="auto"/>
            <w:left w:val="none" w:sz="0" w:space="0" w:color="auto"/>
            <w:bottom w:val="none" w:sz="0" w:space="0" w:color="auto"/>
            <w:right w:val="none" w:sz="0" w:space="0" w:color="auto"/>
          </w:divBdr>
        </w:div>
        <w:div w:id="494273023">
          <w:marLeft w:val="0"/>
          <w:marRight w:val="0"/>
          <w:marTop w:val="0"/>
          <w:marBottom w:val="0"/>
          <w:divBdr>
            <w:top w:val="none" w:sz="0" w:space="0" w:color="auto"/>
            <w:left w:val="none" w:sz="0" w:space="0" w:color="auto"/>
            <w:bottom w:val="none" w:sz="0" w:space="0" w:color="auto"/>
            <w:right w:val="none" w:sz="0" w:space="0" w:color="auto"/>
          </w:divBdr>
        </w:div>
        <w:div w:id="703024693">
          <w:marLeft w:val="0"/>
          <w:marRight w:val="0"/>
          <w:marTop w:val="0"/>
          <w:marBottom w:val="0"/>
          <w:divBdr>
            <w:top w:val="none" w:sz="0" w:space="0" w:color="auto"/>
            <w:left w:val="none" w:sz="0" w:space="0" w:color="auto"/>
            <w:bottom w:val="none" w:sz="0" w:space="0" w:color="auto"/>
            <w:right w:val="none" w:sz="0" w:space="0" w:color="auto"/>
          </w:divBdr>
        </w:div>
      </w:divsChild>
    </w:div>
    <w:div w:id="1733120294">
      <w:bodyDiv w:val="1"/>
      <w:marLeft w:val="0"/>
      <w:marRight w:val="0"/>
      <w:marTop w:val="0"/>
      <w:marBottom w:val="0"/>
      <w:divBdr>
        <w:top w:val="none" w:sz="0" w:space="0" w:color="auto"/>
        <w:left w:val="none" w:sz="0" w:space="0" w:color="auto"/>
        <w:bottom w:val="none" w:sz="0" w:space="0" w:color="auto"/>
        <w:right w:val="none" w:sz="0" w:space="0" w:color="auto"/>
      </w:divBdr>
    </w:div>
    <w:div w:id="1767656147">
      <w:bodyDiv w:val="1"/>
      <w:marLeft w:val="0"/>
      <w:marRight w:val="0"/>
      <w:marTop w:val="0"/>
      <w:marBottom w:val="0"/>
      <w:divBdr>
        <w:top w:val="none" w:sz="0" w:space="0" w:color="auto"/>
        <w:left w:val="none" w:sz="0" w:space="0" w:color="auto"/>
        <w:bottom w:val="none" w:sz="0" w:space="0" w:color="auto"/>
        <w:right w:val="none" w:sz="0" w:space="0" w:color="auto"/>
      </w:divBdr>
      <w:divsChild>
        <w:div w:id="718284565">
          <w:marLeft w:val="0"/>
          <w:marRight w:val="0"/>
          <w:marTop w:val="0"/>
          <w:marBottom w:val="0"/>
          <w:divBdr>
            <w:top w:val="none" w:sz="0" w:space="0" w:color="auto"/>
            <w:left w:val="none" w:sz="0" w:space="0" w:color="auto"/>
            <w:bottom w:val="none" w:sz="0" w:space="0" w:color="auto"/>
            <w:right w:val="none" w:sz="0" w:space="0" w:color="auto"/>
          </w:divBdr>
        </w:div>
      </w:divsChild>
    </w:div>
    <w:div w:id="1808939004">
      <w:bodyDiv w:val="1"/>
      <w:marLeft w:val="0"/>
      <w:marRight w:val="0"/>
      <w:marTop w:val="0"/>
      <w:marBottom w:val="0"/>
      <w:divBdr>
        <w:top w:val="none" w:sz="0" w:space="0" w:color="auto"/>
        <w:left w:val="none" w:sz="0" w:space="0" w:color="auto"/>
        <w:bottom w:val="none" w:sz="0" w:space="0" w:color="auto"/>
        <w:right w:val="none" w:sz="0" w:space="0" w:color="auto"/>
      </w:divBdr>
    </w:div>
    <w:div w:id="1823694655">
      <w:bodyDiv w:val="1"/>
      <w:marLeft w:val="0"/>
      <w:marRight w:val="0"/>
      <w:marTop w:val="0"/>
      <w:marBottom w:val="0"/>
      <w:divBdr>
        <w:top w:val="none" w:sz="0" w:space="0" w:color="auto"/>
        <w:left w:val="none" w:sz="0" w:space="0" w:color="auto"/>
        <w:bottom w:val="none" w:sz="0" w:space="0" w:color="auto"/>
        <w:right w:val="none" w:sz="0" w:space="0" w:color="auto"/>
      </w:divBdr>
      <w:divsChild>
        <w:div w:id="1090464238">
          <w:marLeft w:val="0"/>
          <w:marRight w:val="0"/>
          <w:marTop w:val="0"/>
          <w:marBottom w:val="0"/>
          <w:divBdr>
            <w:top w:val="none" w:sz="0" w:space="0" w:color="auto"/>
            <w:left w:val="none" w:sz="0" w:space="0" w:color="auto"/>
            <w:bottom w:val="none" w:sz="0" w:space="0" w:color="auto"/>
            <w:right w:val="none" w:sz="0" w:space="0" w:color="auto"/>
          </w:divBdr>
        </w:div>
        <w:div w:id="771587282">
          <w:marLeft w:val="0"/>
          <w:marRight w:val="0"/>
          <w:marTop w:val="0"/>
          <w:marBottom w:val="0"/>
          <w:divBdr>
            <w:top w:val="none" w:sz="0" w:space="0" w:color="auto"/>
            <w:left w:val="none" w:sz="0" w:space="0" w:color="auto"/>
            <w:bottom w:val="none" w:sz="0" w:space="0" w:color="auto"/>
            <w:right w:val="none" w:sz="0" w:space="0" w:color="auto"/>
          </w:divBdr>
        </w:div>
        <w:div w:id="582837095">
          <w:marLeft w:val="0"/>
          <w:marRight w:val="0"/>
          <w:marTop w:val="0"/>
          <w:marBottom w:val="0"/>
          <w:divBdr>
            <w:top w:val="none" w:sz="0" w:space="0" w:color="auto"/>
            <w:left w:val="none" w:sz="0" w:space="0" w:color="auto"/>
            <w:bottom w:val="none" w:sz="0" w:space="0" w:color="auto"/>
            <w:right w:val="none" w:sz="0" w:space="0" w:color="auto"/>
          </w:divBdr>
        </w:div>
        <w:div w:id="347292178">
          <w:marLeft w:val="0"/>
          <w:marRight w:val="0"/>
          <w:marTop w:val="0"/>
          <w:marBottom w:val="0"/>
          <w:divBdr>
            <w:top w:val="none" w:sz="0" w:space="0" w:color="auto"/>
            <w:left w:val="none" w:sz="0" w:space="0" w:color="auto"/>
            <w:bottom w:val="none" w:sz="0" w:space="0" w:color="auto"/>
            <w:right w:val="none" w:sz="0" w:space="0" w:color="auto"/>
          </w:divBdr>
        </w:div>
        <w:div w:id="1003778623">
          <w:marLeft w:val="0"/>
          <w:marRight w:val="0"/>
          <w:marTop w:val="0"/>
          <w:marBottom w:val="0"/>
          <w:divBdr>
            <w:top w:val="none" w:sz="0" w:space="0" w:color="auto"/>
            <w:left w:val="none" w:sz="0" w:space="0" w:color="auto"/>
            <w:bottom w:val="none" w:sz="0" w:space="0" w:color="auto"/>
            <w:right w:val="none" w:sz="0" w:space="0" w:color="auto"/>
          </w:divBdr>
        </w:div>
        <w:div w:id="234634418">
          <w:marLeft w:val="0"/>
          <w:marRight w:val="0"/>
          <w:marTop w:val="0"/>
          <w:marBottom w:val="0"/>
          <w:divBdr>
            <w:top w:val="none" w:sz="0" w:space="0" w:color="auto"/>
            <w:left w:val="none" w:sz="0" w:space="0" w:color="auto"/>
            <w:bottom w:val="none" w:sz="0" w:space="0" w:color="auto"/>
            <w:right w:val="none" w:sz="0" w:space="0" w:color="auto"/>
          </w:divBdr>
        </w:div>
        <w:div w:id="389698632">
          <w:marLeft w:val="0"/>
          <w:marRight w:val="0"/>
          <w:marTop w:val="0"/>
          <w:marBottom w:val="0"/>
          <w:divBdr>
            <w:top w:val="none" w:sz="0" w:space="0" w:color="auto"/>
            <w:left w:val="none" w:sz="0" w:space="0" w:color="auto"/>
            <w:bottom w:val="none" w:sz="0" w:space="0" w:color="auto"/>
            <w:right w:val="none" w:sz="0" w:space="0" w:color="auto"/>
          </w:divBdr>
        </w:div>
        <w:div w:id="1788354672">
          <w:marLeft w:val="0"/>
          <w:marRight w:val="0"/>
          <w:marTop w:val="0"/>
          <w:marBottom w:val="0"/>
          <w:divBdr>
            <w:top w:val="none" w:sz="0" w:space="0" w:color="auto"/>
            <w:left w:val="none" w:sz="0" w:space="0" w:color="auto"/>
            <w:bottom w:val="none" w:sz="0" w:space="0" w:color="auto"/>
            <w:right w:val="none" w:sz="0" w:space="0" w:color="auto"/>
          </w:divBdr>
        </w:div>
        <w:div w:id="96491722">
          <w:marLeft w:val="0"/>
          <w:marRight w:val="0"/>
          <w:marTop w:val="0"/>
          <w:marBottom w:val="0"/>
          <w:divBdr>
            <w:top w:val="none" w:sz="0" w:space="0" w:color="auto"/>
            <w:left w:val="none" w:sz="0" w:space="0" w:color="auto"/>
            <w:bottom w:val="none" w:sz="0" w:space="0" w:color="auto"/>
            <w:right w:val="none" w:sz="0" w:space="0" w:color="auto"/>
          </w:divBdr>
        </w:div>
        <w:div w:id="1867284154">
          <w:marLeft w:val="0"/>
          <w:marRight w:val="0"/>
          <w:marTop w:val="0"/>
          <w:marBottom w:val="0"/>
          <w:divBdr>
            <w:top w:val="none" w:sz="0" w:space="0" w:color="auto"/>
            <w:left w:val="none" w:sz="0" w:space="0" w:color="auto"/>
            <w:bottom w:val="none" w:sz="0" w:space="0" w:color="auto"/>
            <w:right w:val="none" w:sz="0" w:space="0" w:color="auto"/>
          </w:divBdr>
        </w:div>
        <w:div w:id="1540819867">
          <w:marLeft w:val="0"/>
          <w:marRight w:val="0"/>
          <w:marTop w:val="0"/>
          <w:marBottom w:val="0"/>
          <w:divBdr>
            <w:top w:val="none" w:sz="0" w:space="0" w:color="auto"/>
            <w:left w:val="none" w:sz="0" w:space="0" w:color="auto"/>
            <w:bottom w:val="none" w:sz="0" w:space="0" w:color="auto"/>
            <w:right w:val="none" w:sz="0" w:space="0" w:color="auto"/>
          </w:divBdr>
        </w:div>
        <w:div w:id="1423574495">
          <w:marLeft w:val="0"/>
          <w:marRight w:val="0"/>
          <w:marTop w:val="0"/>
          <w:marBottom w:val="0"/>
          <w:divBdr>
            <w:top w:val="none" w:sz="0" w:space="0" w:color="auto"/>
            <w:left w:val="none" w:sz="0" w:space="0" w:color="auto"/>
            <w:bottom w:val="none" w:sz="0" w:space="0" w:color="auto"/>
            <w:right w:val="none" w:sz="0" w:space="0" w:color="auto"/>
          </w:divBdr>
        </w:div>
        <w:div w:id="1190294310">
          <w:marLeft w:val="0"/>
          <w:marRight w:val="0"/>
          <w:marTop w:val="0"/>
          <w:marBottom w:val="0"/>
          <w:divBdr>
            <w:top w:val="none" w:sz="0" w:space="0" w:color="auto"/>
            <w:left w:val="none" w:sz="0" w:space="0" w:color="auto"/>
            <w:bottom w:val="none" w:sz="0" w:space="0" w:color="auto"/>
            <w:right w:val="none" w:sz="0" w:space="0" w:color="auto"/>
          </w:divBdr>
        </w:div>
        <w:div w:id="478960026">
          <w:marLeft w:val="0"/>
          <w:marRight w:val="0"/>
          <w:marTop w:val="0"/>
          <w:marBottom w:val="0"/>
          <w:divBdr>
            <w:top w:val="none" w:sz="0" w:space="0" w:color="auto"/>
            <w:left w:val="none" w:sz="0" w:space="0" w:color="auto"/>
            <w:bottom w:val="none" w:sz="0" w:space="0" w:color="auto"/>
            <w:right w:val="none" w:sz="0" w:space="0" w:color="auto"/>
          </w:divBdr>
        </w:div>
        <w:div w:id="2106994200">
          <w:marLeft w:val="0"/>
          <w:marRight w:val="0"/>
          <w:marTop w:val="0"/>
          <w:marBottom w:val="0"/>
          <w:divBdr>
            <w:top w:val="none" w:sz="0" w:space="0" w:color="auto"/>
            <w:left w:val="none" w:sz="0" w:space="0" w:color="auto"/>
            <w:bottom w:val="none" w:sz="0" w:space="0" w:color="auto"/>
            <w:right w:val="none" w:sz="0" w:space="0" w:color="auto"/>
          </w:divBdr>
        </w:div>
        <w:div w:id="1746684621">
          <w:marLeft w:val="0"/>
          <w:marRight w:val="0"/>
          <w:marTop w:val="0"/>
          <w:marBottom w:val="0"/>
          <w:divBdr>
            <w:top w:val="none" w:sz="0" w:space="0" w:color="auto"/>
            <w:left w:val="none" w:sz="0" w:space="0" w:color="auto"/>
            <w:bottom w:val="none" w:sz="0" w:space="0" w:color="auto"/>
            <w:right w:val="none" w:sz="0" w:space="0" w:color="auto"/>
          </w:divBdr>
        </w:div>
        <w:div w:id="1219902932">
          <w:marLeft w:val="0"/>
          <w:marRight w:val="0"/>
          <w:marTop w:val="0"/>
          <w:marBottom w:val="0"/>
          <w:divBdr>
            <w:top w:val="none" w:sz="0" w:space="0" w:color="auto"/>
            <w:left w:val="none" w:sz="0" w:space="0" w:color="auto"/>
            <w:bottom w:val="none" w:sz="0" w:space="0" w:color="auto"/>
            <w:right w:val="none" w:sz="0" w:space="0" w:color="auto"/>
          </w:divBdr>
        </w:div>
        <w:div w:id="2077313450">
          <w:marLeft w:val="0"/>
          <w:marRight w:val="0"/>
          <w:marTop w:val="0"/>
          <w:marBottom w:val="0"/>
          <w:divBdr>
            <w:top w:val="none" w:sz="0" w:space="0" w:color="auto"/>
            <w:left w:val="none" w:sz="0" w:space="0" w:color="auto"/>
            <w:bottom w:val="none" w:sz="0" w:space="0" w:color="auto"/>
            <w:right w:val="none" w:sz="0" w:space="0" w:color="auto"/>
          </w:divBdr>
        </w:div>
        <w:div w:id="679739762">
          <w:marLeft w:val="0"/>
          <w:marRight w:val="0"/>
          <w:marTop w:val="0"/>
          <w:marBottom w:val="0"/>
          <w:divBdr>
            <w:top w:val="none" w:sz="0" w:space="0" w:color="auto"/>
            <w:left w:val="none" w:sz="0" w:space="0" w:color="auto"/>
            <w:bottom w:val="none" w:sz="0" w:space="0" w:color="auto"/>
            <w:right w:val="none" w:sz="0" w:space="0" w:color="auto"/>
          </w:divBdr>
        </w:div>
        <w:div w:id="1878353694">
          <w:marLeft w:val="0"/>
          <w:marRight w:val="0"/>
          <w:marTop w:val="0"/>
          <w:marBottom w:val="0"/>
          <w:divBdr>
            <w:top w:val="none" w:sz="0" w:space="0" w:color="auto"/>
            <w:left w:val="none" w:sz="0" w:space="0" w:color="auto"/>
            <w:bottom w:val="none" w:sz="0" w:space="0" w:color="auto"/>
            <w:right w:val="none" w:sz="0" w:space="0" w:color="auto"/>
          </w:divBdr>
        </w:div>
        <w:div w:id="442924495">
          <w:marLeft w:val="0"/>
          <w:marRight w:val="0"/>
          <w:marTop w:val="0"/>
          <w:marBottom w:val="0"/>
          <w:divBdr>
            <w:top w:val="none" w:sz="0" w:space="0" w:color="auto"/>
            <w:left w:val="none" w:sz="0" w:space="0" w:color="auto"/>
            <w:bottom w:val="none" w:sz="0" w:space="0" w:color="auto"/>
            <w:right w:val="none" w:sz="0" w:space="0" w:color="auto"/>
          </w:divBdr>
        </w:div>
        <w:div w:id="564679528">
          <w:marLeft w:val="0"/>
          <w:marRight w:val="0"/>
          <w:marTop w:val="0"/>
          <w:marBottom w:val="0"/>
          <w:divBdr>
            <w:top w:val="none" w:sz="0" w:space="0" w:color="auto"/>
            <w:left w:val="none" w:sz="0" w:space="0" w:color="auto"/>
            <w:bottom w:val="none" w:sz="0" w:space="0" w:color="auto"/>
            <w:right w:val="none" w:sz="0" w:space="0" w:color="auto"/>
          </w:divBdr>
        </w:div>
        <w:div w:id="1441336340">
          <w:marLeft w:val="0"/>
          <w:marRight w:val="0"/>
          <w:marTop w:val="0"/>
          <w:marBottom w:val="0"/>
          <w:divBdr>
            <w:top w:val="none" w:sz="0" w:space="0" w:color="auto"/>
            <w:left w:val="none" w:sz="0" w:space="0" w:color="auto"/>
            <w:bottom w:val="none" w:sz="0" w:space="0" w:color="auto"/>
            <w:right w:val="none" w:sz="0" w:space="0" w:color="auto"/>
          </w:divBdr>
        </w:div>
        <w:div w:id="1499541143">
          <w:marLeft w:val="0"/>
          <w:marRight w:val="0"/>
          <w:marTop w:val="0"/>
          <w:marBottom w:val="0"/>
          <w:divBdr>
            <w:top w:val="none" w:sz="0" w:space="0" w:color="auto"/>
            <w:left w:val="none" w:sz="0" w:space="0" w:color="auto"/>
            <w:bottom w:val="none" w:sz="0" w:space="0" w:color="auto"/>
            <w:right w:val="none" w:sz="0" w:space="0" w:color="auto"/>
          </w:divBdr>
        </w:div>
        <w:div w:id="2080253245">
          <w:marLeft w:val="0"/>
          <w:marRight w:val="0"/>
          <w:marTop w:val="0"/>
          <w:marBottom w:val="0"/>
          <w:divBdr>
            <w:top w:val="none" w:sz="0" w:space="0" w:color="auto"/>
            <w:left w:val="none" w:sz="0" w:space="0" w:color="auto"/>
            <w:bottom w:val="none" w:sz="0" w:space="0" w:color="auto"/>
            <w:right w:val="none" w:sz="0" w:space="0" w:color="auto"/>
          </w:divBdr>
        </w:div>
        <w:div w:id="388959895">
          <w:marLeft w:val="0"/>
          <w:marRight w:val="0"/>
          <w:marTop w:val="0"/>
          <w:marBottom w:val="0"/>
          <w:divBdr>
            <w:top w:val="none" w:sz="0" w:space="0" w:color="auto"/>
            <w:left w:val="none" w:sz="0" w:space="0" w:color="auto"/>
            <w:bottom w:val="none" w:sz="0" w:space="0" w:color="auto"/>
            <w:right w:val="none" w:sz="0" w:space="0" w:color="auto"/>
          </w:divBdr>
        </w:div>
        <w:div w:id="1186872066">
          <w:marLeft w:val="0"/>
          <w:marRight w:val="0"/>
          <w:marTop w:val="0"/>
          <w:marBottom w:val="0"/>
          <w:divBdr>
            <w:top w:val="none" w:sz="0" w:space="0" w:color="auto"/>
            <w:left w:val="none" w:sz="0" w:space="0" w:color="auto"/>
            <w:bottom w:val="none" w:sz="0" w:space="0" w:color="auto"/>
            <w:right w:val="none" w:sz="0" w:space="0" w:color="auto"/>
          </w:divBdr>
        </w:div>
        <w:div w:id="1421098204">
          <w:marLeft w:val="0"/>
          <w:marRight w:val="0"/>
          <w:marTop w:val="0"/>
          <w:marBottom w:val="0"/>
          <w:divBdr>
            <w:top w:val="none" w:sz="0" w:space="0" w:color="auto"/>
            <w:left w:val="none" w:sz="0" w:space="0" w:color="auto"/>
            <w:bottom w:val="none" w:sz="0" w:space="0" w:color="auto"/>
            <w:right w:val="none" w:sz="0" w:space="0" w:color="auto"/>
          </w:divBdr>
        </w:div>
        <w:div w:id="1740011497">
          <w:marLeft w:val="0"/>
          <w:marRight w:val="0"/>
          <w:marTop w:val="0"/>
          <w:marBottom w:val="0"/>
          <w:divBdr>
            <w:top w:val="none" w:sz="0" w:space="0" w:color="auto"/>
            <w:left w:val="none" w:sz="0" w:space="0" w:color="auto"/>
            <w:bottom w:val="none" w:sz="0" w:space="0" w:color="auto"/>
            <w:right w:val="none" w:sz="0" w:space="0" w:color="auto"/>
          </w:divBdr>
        </w:div>
        <w:div w:id="1145466441">
          <w:marLeft w:val="0"/>
          <w:marRight w:val="0"/>
          <w:marTop w:val="0"/>
          <w:marBottom w:val="0"/>
          <w:divBdr>
            <w:top w:val="none" w:sz="0" w:space="0" w:color="auto"/>
            <w:left w:val="none" w:sz="0" w:space="0" w:color="auto"/>
            <w:bottom w:val="none" w:sz="0" w:space="0" w:color="auto"/>
            <w:right w:val="none" w:sz="0" w:space="0" w:color="auto"/>
          </w:divBdr>
        </w:div>
        <w:div w:id="239028585">
          <w:marLeft w:val="0"/>
          <w:marRight w:val="0"/>
          <w:marTop w:val="0"/>
          <w:marBottom w:val="0"/>
          <w:divBdr>
            <w:top w:val="none" w:sz="0" w:space="0" w:color="auto"/>
            <w:left w:val="none" w:sz="0" w:space="0" w:color="auto"/>
            <w:bottom w:val="none" w:sz="0" w:space="0" w:color="auto"/>
            <w:right w:val="none" w:sz="0" w:space="0" w:color="auto"/>
          </w:divBdr>
        </w:div>
        <w:div w:id="1776557384">
          <w:marLeft w:val="0"/>
          <w:marRight w:val="0"/>
          <w:marTop w:val="0"/>
          <w:marBottom w:val="0"/>
          <w:divBdr>
            <w:top w:val="none" w:sz="0" w:space="0" w:color="auto"/>
            <w:left w:val="none" w:sz="0" w:space="0" w:color="auto"/>
            <w:bottom w:val="none" w:sz="0" w:space="0" w:color="auto"/>
            <w:right w:val="none" w:sz="0" w:space="0" w:color="auto"/>
          </w:divBdr>
        </w:div>
        <w:div w:id="1933003518">
          <w:marLeft w:val="0"/>
          <w:marRight w:val="0"/>
          <w:marTop w:val="0"/>
          <w:marBottom w:val="0"/>
          <w:divBdr>
            <w:top w:val="none" w:sz="0" w:space="0" w:color="auto"/>
            <w:left w:val="none" w:sz="0" w:space="0" w:color="auto"/>
            <w:bottom w:val="none" w:sz="0" w:space="0" w:color="auto"/>
            <w:right w:val="none" w:sz="0" w:space="0" w:color="auto"/>
          </w:divBdr>
        </w:div>
        <w:div w:id="113522700">
          <w:marLeft w:val="0"/>
          <w:marRight w:val="0"/>
          <w:marTop w:val="0"/>
          <w:marBottom w:val="0"/>
          <w:divBdr>
            <w:top w:val="none" w:sz="0" w:space="0" w:color="auto"/>
            <w:left w:val="none" w:sz="0" w:space="0" w:color="auto"/>
            <w:bottom w:val="none" w:sz="0" w:space="0" w:color="auto"/>
            <w:right w:val="none" w:sz="0" w:space="0" w:color="auto"/>
          </w:divBdr>
        </w:div>
        <w:div w:id="1288046322">
          <w:marLeft w:val="0"/>
          <w:marRight w:val="0"/>
          <w:marTop w:val="0"/>
          <w:marBottom w:val="0"/>
          <w:divBdr>
            <w:top w:val="none" w:sz="0" w:space="0" w:color="auto"/>
            <w:left w:val="none" w:sz="0" w:space="0" w:color="auto"/>
            <w:bottom w:val="none" w:sz="0" w:space="0" w:color="auto"/>
            <w:right w:val="none" w:sz="0" w:space="0" w:color="auto"/>
          </w:divBdr>
        </w:div>
        <w:div w:id="2117023115">
          <w:marLeft w:val="0"/>
          <w:marRight w:val="0"/>
          <w:marTop w:val="0"/>
          <w:marBottom w:val="0"/>
          <w:divBdr>
            <w:top w:val="none" w:sz="0" w:space="0" w:color="auto"/>
            <w:left w:val="none" w:sz="0" w:space="0" w:color="auto"/>
            <w:bottom w:val="none" w:sz="0" w:space="0" w:color="auto"/>
            <w:right w:val="none" w:sz="0" w:space="0" w:color="auto"/>
          </w:divBdr>
        </w:div>
        <w:div w:id="477234473">
          <w:marLeft w:val="0"/>
          <w:marRight w:val="0"/>
          <w:marTop w:val="0"/>
          <w:marBottom w:val="0"/>
          <w:divBdr>
            <w:top w:val="none" w:sz="0" w:space="0" w:color="auto"/>
            <w:left w:val="none" w:sz="0" w:space="0" w:color="auto"/>
            <w:bottom w:val="none" w:sz="0" w:space="0" w:color="auto"/>
            <w:right w:val="none" w:sz="0" w:space="0" w:color="auto"/>
          </w:divBdr>
        </w:div>
        <w:div w:id="1951549046">
          <w:marLeft w:val="0"/>
          <w:marRight w:val="0"/>
          <w:marTop w:val="0"/>
          <w:marBottom w:val="0"/>
          <w:divBdr>
            <w:top w:val="none" w:sz="0" w:space="0" w:color="auto"/>
            <w:left w:val="none" w:sz="0" w:space="0" w:color="auto"/>
            <w:bottom w:val="none" w:sz="0" w:space="0" w:color="auto"/>
            <w:right w:val="none" w:sz="0" w:space="0" w:color="auto"/>
          </w:divBdr>
        </w:div>
        <w:div w:id="1056658693">
          <w:marLeft w:val="0"/>
          <w:marRight w:val="0"/>
          <w:marTop w:val="0"/>
          <w:marBottom w:val="0"/>
          <w:divBdr>
            <w:top w:val="none" w:sz="0" w:space="0" w:color="auto"/>
            <w:left w:val="none" w:sz="0" w:space="0" w:color="auto"/>
            <w:bottom w:val="none" w:sz="0" w:space="0" w:color="auto"/>
            <w:right w:val="none" w:sz="0" w:space="0" w:color="auto"/>
          </w:divBdr>
        </w:div>
        <w:div w:id="996802764">
          <w:marLeft w:val="0"/>
          <w:marRight w:val="0"/>
          <w:marTop w:val="0"/>
          <w:marBottom w:val="0"/>
          <w:divBdr>
            <w:top w:val="none" w:sz="0" w:space="0" w:color="auto"/>
            <w:left w:val="none" w:sz="0" w:space="0" w:color="auto"/>
            <w:bottom w:val="none" w:sz="0" w:space="0" w:color="auto"/>
            <w:right w:val="none" w:sz="0" w:space="0" w:color="auto"/>
          </w:divBdr>
        </w:div>
        <w:div w:id="543836878">
          <w:marLeft w:val="0"/>
          <w:marRight w:val="0"/>
          <w:marTop w:val="0"/>
          <w:marBottom w:val="0"/>
          <w:divBdr>
            <w:top w:val="none" w:sz="0" w:space="0" w:color="auto"/>
            <w:left w:val="none" w:sz="0" w:space="0" w:color="auto"/>
            <w:bottom w:val="none" w:sz="0" w:space="0" w:color="auto"/>
            <w:right w:val="none" w:sz="0" w:space="0" w:color="auto"/>
          </w:divBdr>
        </w:div>
        <w:div w:id="1541480031">
          <w:marLeft w:val="0"/>
          <w:marRight w:val="0"/>
          <w:marTop w:val="0"/>
          <w:marBottom w:val="0"/>
          <w:divBdr>
            <w:top w:val="none" w:sz="0" w:space="0" w:color="auto"/>
            <w:left w:val="none" w:sz="0" w:space="0" w:color="auto"/>
            <w:bottom w:val="none" w:sz="0" w:space="0" w:color="auto"/>
            <w:right w:val="none" w:sz="0" w:space="0" w:color="auto"/>
          </w:divBdr>
        </w:div>
        <w:div w:id="969702618">
          <w:marLeft w:val="0"/>
          <w:marRight w:val="0"/>
          <w:marTop w:val="0"/>
          <w:marBottom w:val="0"/>
          <w:divBdr>
            <w:top w:val="none" w:sz="0" w:space="0" w:color="auto"/>
            <w:left w:val="none" w:sz="0" w:space="0" w:color="auto"/>
            <w:bottom w:val="none" w:sz="0" w:space="0" w:color="auto"/>
            <w:right w:val="none" w:sz="0" w:space="0" w:color="auto"/>
          </w:divBdr>
        </w:div>
        <w:div w:id="1876236775">
          <w:marLeft w:val="0"/>
          <w:marRight w:val="0"/>
          <w:marTop w:val="0"/>
          <w:marBottom w:val="0"/>
          <w:divBdr>
            <w:top w:val="none" w:sz="0" w:space="0" w:color="auto"/>
            <w:left w:val="none" w:sz="0" w:space="0" w:color="auto"/>
            <w:bottom w:val="none" w:sz="0" w:space="0" w:color="auto"/>
            <w:right w:val="none" w:sz="0" w:space="0" w:color="auto"/>
          </w:divBdr>
        </w:div>
        <w:div w:id="840854718">
          <w:marLeft w:val="0"/>
          <w:marRight w:val="0"/>
          <w:marTop w:val="0"/>
          <w:marBottom w:val="0"/>
          <w:divBdr>
            <w:top w:val="none" w:sz="0" w:space="0" w:color="auto"/>
            <w:left w:val="none" w:sz="0" w:space="0" w:color="auto"/>
            <w:bottom w:val="none" w:sz="0" w:space="0" w:color="auto"/>
            <w:right w:val="none" w:sz="0" w:space="0" w:color="auto"/>
          </w:divBdr>
        </w:div>
        <w:div w:id="1584144672">
          <w:marLeft w:val="0"/>
          <w:marRight w:val="0"/>
          <w:marTop w:val="0"/>
          <w:marBottom w:val="0"/>
          <w:divBdr>
            <w:top w:val="none" w:sz="0" w:space="0" w:color="auto"/>
            <w:left w:val="none" w:sz="0" w:space="0" w:color="auto"/>
            <w:bottom w:val="none" w:sz="0" w:space="0" w:color="auto"/>
            <w:right w:val="none" w:sz="0" w:space="0" w:color="auto"/>
          </w:divBdr>
        </w:div>
        <w:div w:id="1566065933">
          <w:marLeft w:val="0"/>
          <w:marRight w:val="0"/>
          <w:marTop w:val="0"/>
          <w:marBottom w:val="0"/>
          <w:divBdr>
            <w:top w:val="none" w:sz="0" w:space="0" w:color="auto"/>
            <w:left w:val="none" w:sz="0" w:space="0" w:color="auto"/>
            <w:bottom w:val="none" w:sz="0" w:space="0" w:color="auto"/>
            <w:right w:val="none" w:sz="0" w:space="0" w:color="auto"/>
          </w:divBdr>
        </w:div>
        <w:div w:id="754590266">
          <w:marLeft w:val="0"/>
          <w:marRight w:val="0"/>
          <w:marTop w:val="0"/>
          <w:marBottom w:val="0"/>
          <w:divBdr>
            <w:top w:val="none" w:sz="0" w:space="0" w:color="auto"/>
            <w:left w:val="none" w:sz="0" w:space="0" w:color="auto"/>
            <w:bottom w:val="none" w:sz="0" w:space="0" w:color="auto"/>
            <w:right w:val="none" w:sz="0" w:space="0" w:color="auto"/>
          </w:divBdr>
        </w:div>
        <w:div w:id="545024802">
          <w:marLeft w:val="0"/>
          <w:marRight w:val="0"/>
          <w:marTop w:val="0"/>
          <w:marBottom w:val="0"/>
          <w:divBdr>
            <w:top w:val="none" w:sz="0" w:space="0" w:color="auto"/>
            <w:left w:val="none" w:sz="0" w:space="0" w:color="auto"/>
            <w:bottom w:val="none" w:sz="0" w:space="0" w:color="auto"/>
            <w:right w:val="none" w:sz="0" w:space="0" w:color="auto"/>
          </w:divBdr>
        </w:div>
        <w:div w:id="715930816">
          <w:marLeft w:val="0"/>
          <w:marRight w:val="0"/>
          <w:marTop w:val="0"/>
          <w:marBottom w:val="0"/>
          <w:divBdr>
            <w:top w:val="none" w:sz="0" w:space="0" w:color="auto"/>
            <w:left w:val="none" w:sz="0" w:space="0" w:color="auto"/>
            <w:bottom w:val="none" w:sz="0" w:space="0" w:color="auto"/>
            <w:right w:val="none" w:sz="0" w:space="0" w:color="auto"/>
          </w:divBdr>
        </w:div>
        <w:div w:id="908930244">
          <w:marLeft w:val="0"/>
          <w:marRight w:val="0"/>
          <w:marTop w:val="0"/>
          <w:marBottom w:val="0"/>
          <w:divBdr>
            <w:top w:val="none" w:sz="0" w:space="0" w:color="auto"/>
            <w:left w:val="none" w:sz="0" w:space="0" w:color="auto"/>
            <w:bottom w:val="none" w:sz="0" w:space="0" w:color="auto"/>
            <w:right w:val="none" w:sz="0" w:space="0" w:color="auto"/>
          </w:divBdr>
        </w:div>
        <w:div w:id="1950505192">
          <w:marLeft w:val="0"/>
          <w:marRight w:val="0"/>
          <w:marTop w:val="0"/>
          <w:marBottom w:val="0"/>
          <w:divBdr>
            <w:top w:val="none" w:sz="0" w:space="0" w:color="auto"/>
            <w:left w:val="none" w:sz="0" w:space="0" w:color="auto"/>
            <w:bottom w:val="none" w:sz="0" w:space="0" w:color="auto"/>
            <w:right w:val="none" w:sz="0" w:space="0" w:color="auto"/>
          </w:divBdr>
        </w:div>
        <w:div w:id="1495679881">
          <w:marLeft w:val="0"/>
          <w:marRight w:val="0"/>
          <w:marTop w:val="0"/>
          <w:marBottom w:val="0"/>
          <w:divBdr>
            <w:top w:val="none" w:sz="0" w:space="0" w:color="auto"/>
            <w:left w:val="none" w:sz="0" w:space="0" w:color="auto"/>
            <w:bottom w:val="none" w:sz="0" w:space="0" w:color="auto"/>
            <w:right w:val="none" w:sz="0" w:space="0" w:color="auto"/>
          </w:divBdr>
        </w:div>
        <w:div w:id="2050060922">
          <w:marLeft w:val="0"/>
          <w:marRight w:val="0"/>
          <w:marTop w:val="0"/>
          <w:marBottom w:val="0"/>
          <w:divBdr>
            <w:top w:val="none" w:sz="0" w:space="0" w:color="auto"/>
            <w:left w:val="none" w:sz="0" w:space="0" w:color="auto"/>
            <w:bottom w:val="none" w:sz="0" w:space="0" w:color="auto"/>
            <w:right w:val="none" w:sz="0" w:space="0" w:color="auto"/>
          </w:divBdr>
        </w:div>
        <w:div w:id="1838959331">
          <w:marLeft w:val="0"/>
          <w:marRight w:val="0"/>
          <w:marTop w:val="0"/>
          <w:marBottom w:val="0"/>
          <w:divBdr>
            <w:top w:val="none" w:sz="0" w:space="0" w:color="auto"/>
            <w:left w:val="none" w:sz="0" w:space="0" w:color="auto"/>
            <w:bottom w:val="none" w:sz="0" w:space="0" w:color="auto"/>
            <w:right w:val="none" w:sz="0" w:space="0" w:color="auto"/>
          </w:divBdr>
        </w:div>
        <w:div w:id="370958276">
          <w:marLeft w:val="0"/>
          <w:marRight w:val="0"/>
          <w:marTop w:val="0"/>
          <w:marBottom w:val="0"/>
          <w:divBdr>
            <w:top w:val="none" w:sz="0" w:space="0" w:color="auto"/>
            <w:left w:val="none" w:sz="0" w:space="0" w:color="auto"/>
            <w:bottom w:val="none" w:sz="0" w:space="0" w:color="auto"/>
            <w:right w:val="none" w:sz="0" w:space="0" w:color="auto"/>
          </w:divBdr>
        </w:div>
        <w:div w:id="109208430">
          <w:marLeft w:val="0"/>
          <w:marRight w:val="0"/>
          <w:marTop w:val="0"/>
          <w:marBottom w:val="0"/>
          <w:divBdr>
            <w:top w:val="none" w:sz="0" w:space="0" w:color="auto"/>
            <w:left w:val="none" w:sz="0" w:space="0" w:color="auto"/>
            <w:bottom w:val="none" w:sz="0" w:space="0" w:color="auto"/>
            <w:right w:val="none" w:sz="0" w:space="0" w:color="auto"/>
          </w:divBdr>
        </w:div>
        <w:div w:id="285477222">
          <w:marLeft w:val="0"/>
          <w:marRight w:val="0"/>
          <w:marTop w:val="0"/>
          <w:marBottom w:val="0"/>
          <w:divBdr>
            <w:top w:val="none" w:sz="0" w:space="0" w:color="auto"/>
            <w:left w:val="none" w:sz="0" w:space="0" w:color="auto"/>
            <w:bottom w:val="none" w:sz="0" w:space="0" w:color="auto"/>
            <w:right w:val="none" w:sz="0" w:space="0" w:color="auto"/>
          </w:divBdr>
        </w:div>
        <w:div w:id="707341350">
          <w:marLeft w:val="0"/>
          <w:marRight w:val="0"/>
          <w:marTop w:val="0"/>
          <w:marBottom w:val="0"/>
          <w:divBdr>
            <w:top w:val="none" w:sz="0" w:space="0" w:color="auto"/>
            <w:left w:val="none" w:sz="0" w:space="0" w:color="auto"/>
            <w:bottom w:val="none" w:sz="0" w:space="0" w:color="auto"/>
            <w:right w:val="none" w:sz="0" w:space="0" w:color="auto"/>
          </w:divBdr>
        </w:div>
        <w:div w:id="1187135272">
          <w:marLeft w:val="0"/>
          <w:marRight w:val="0"/>
          <w:marTop w:val="0"/>
          <w:marBottom w:val="0"/>
          <w:divBdr>
            <w:top w:val="none" w:sz="0" w:space="0" w:color="auto"/>
            <w:left w:val="none" w:sz="0" w:space="0" w:color="auto"/>
            <w:bottom w:val="none" w:sz="0" w:space="0" w:color="auto"/>
            <w:right w:val="none" w:sz="0" w:space="0" w:color="auto"/>
          </w:divBdr>
        </w:div>
        <w:div w:id="2006012009">
          <w:marLeft w:val="0"/>
          <w:marRight w:val="0"/>
          <w:marTop w:val="0"/>
          <w:marBottom w:val="0"/>
          <w:divBdr>
            <w:top w:val="none" w:sz="0" w:space="0" w:color="auto"/>
            <w:left w:val="none" w:sz="0" w:space="0" w:color="auto"/>
            <w:bottom w:val="none" w:sz="0" w:space="0" w:color="auto"/>
            <w:right w:val="none" w:sz="0" w:space="0" w:color="auto"/>
          </w:divBdr>
        </w:div>
        <w:div w:id="1522553329">
          <w:marLeft w:val="0"/>
          <w:marRight w:val="0"/>
          <w:marTop w:val="0"/>
          <w:marBottom w:val="0"/>
          <w:divBdr>
            <w:top w:val="none" w:sz="0" w:space="0" w:color="auto"/>
            <w:left w:val="none" w:sz="0" w:space="0" w:color="auto"/>
            <w:bottom w:val="none" w:sz="0" w:space="0" w:color="auto"/>
            <w:right w:val="none" w:sz="0" w:space="0" w:color="auto"/>
          </w:divBdr>
        </w:div>
        <w:div w:id="819468603">
          <w:marLeft w:val="0"/>
          <w:marRight w:val="0"/>
          <w:marTop w:val="0"/>
          <w:marBottom w:val="0"/>
          <w:divBdr>
            <w:top w:val="none" w:sz="0" w:space="0" w:color="auto"/>
            <w:left w:val="none" w:sz="0" w:space="0" w:color="auto"/>
            <w:bottom w:val="none" w:sz="0" w:space="0" w:color="auto"/>
            <w:right w:val="none" w:sz="0" w:space="0" w:color="auto"/>
          </w:divBdr>
        </w:div>
      </w:divsChild>
    </w:div>
    <w:div w:id="1923492173">
      <w:bodyDiv w:val="1"/>
      <w:marLeft w:val="0"/>
      <w:marRight w:val="0"/>
      <w:marTop w:val="0"/>
      <w:marBottom w:val="0"/>
      <w:divBdr>
        <w:top w:val="none" w:sz="0" w:space="0" w:color="auto"/>
        <w:left w:val="none" w:sz="0" w:space="0" w:color="auto"/>
        <w:bottom w:val="none" w:sz="0" w:space="0" w:color="auto"/>
        <w:right w:val="none" w:sz="0" w:space="0" w:color="auto"/>
      </w:divBdr>
    </w:div>
    <w:div w:id="1942374288">
      <w:bodyDiv w:val="1"/>
      <w:marLeft w:val="0"/>
      <w:marRight w:val="0"/>
      <w:marTop w:val="0"/>
      <w:marBottom w:val="0"/>
      <w:divBdr>
        <w:top w:val="none" w:sz="0" w:space="0" w:color="auto"/>
        <w:left w:val="none" w:sz="0" w:space="0" w:color="auto"/>
        <w:bottom w:val="none" w:sz="0" w:space="0" w:color="auto"/>
        <w:right w:val="none" w:sz="0" w:space="0" w:color="auto"/>
      </w:divBdr>
    </w:div>
    <w:div w:id="2041858765">
      <w:bodyDiv w:val="1"/>
      <w:marLeft w:val="0"/>
      <w:marRight w:val="0"/>
      <w:marTop w:val="0"/>
      <w:marBottom w:val="0"/>
      <w:divBdr>
        <w:top w:val="none" w:sz="0" w:space="0" w:color="auto"/>
        <w:left w:val="none" w:sz="0" w:space="0" w:color="auto"/>
        <w:bottom w:val="none" w:sz="0" w:space="0" w:color="auto"/>
        <w:right w:val="none" w:sz="0" w:space="0" w:color="auto"/>
      </w:divBdr>
    </w:div>
    <w:div w:id="2080979118">
      <w:bodyDiv w:val="1"/>
      <w:marLeft w:val="0"/>
      <w:marRight w:val="0"/>
      <w:marTop w:val="0"/>
      <w:marBottom w:val="0"/>
      <w:divBdr>
        <w:top w:val="none" w:sz="0" w:space="0" w:color="auto"/>
        <w:left w:val="none" w:sz="0" w:space="0" w:color="auto"/>
        <w:bottom w:val="none" w:sz="0" w:space="0" w:color="auto"/>
        <w:right w:val="none" w:sz="0" w:space="0" w:color="auto"/>
      </w:divBdr>
      <w:divsChild>
        <w:div w:id="586115267">
          <w:marLeft w:val="0"/>
          <w:marRight w:val="0"/>
          <w:marTop w:val="0"/>
          <w:marBottom w:val="0"/>
          <w:divBdr>
            <w:top w:val="none" w:sz="0" w:space="0" w:color="auto"/>
            <w:left w:val="none" w:sz="0" w:space="0" w:color="auto"/>
            <w:bottom w:val="none" w:sz="0" w:space="0" w:color="auto"/>
            <w:right w:val="none" w:sz="0" w:space="0" w:color="auto"/>
          </w:divBdr>
        </w:div>
        <w:div w:id="547955439">
          <w:marLeft w:val="0"/>
          <w:marRight w:val="0"/>
          <w:marTop w:val="0"/>
          <w:marBottom w:val="0"/>
          <w:divBdr>
            <w:top w:val="none" w:sz="0" w:space="0" w:color="auto"/>
            <w:left w:val="none" w:sz="0" w:space="0" w:color="auto"/>
            <w:bottom w:val="none" w:sz="0" w:space="0" w:color="auto"/>
            <w:right w:val="none" w:sz="0" w:space="0" w:color="auto"/>
          </w:divBdr>
        </w:div>
        <w:div w:id="1092355660">
          <w:marLeft w:val="0"/>
          <w:marRight w:val="0"/>
          <w:marTop w:val="0"/>
          <w:marBottom w:val="0"/>
          <w:divBdr>
            <w:top w:val="none" w:sz="0" w:space="0" w:color="auto"/>
            <w:left w:val="none" w:sz="0" w:space="0" w:color="auto"/>
            <w:bottom w:val="none" w:sz="0" w:space="0" w:color="auto"/>
            <w:right w:val="none" w:sz="0" w:space="0" w:color="auto"/>
          </w:divBdr>
        </w:div>
        <w:div w:id="388304644">
          <w:marLeft w:val="0"/>
          <w:marRight w:val="0"/>
          <w:marTop w:val="0"/>
          <w:marBottom w:val="0"/>
          <w:divBdr>
            <w:top w:val="none" w:sz="0" w:space="0" w:color="auto"/>
            <w:left w:val="none" w:sz="0" w:space="0" w:color="auto"/>
            <w:bottom w:val="none" w:sz="0" w:space="0" w:color="auto"/>
            <w:right w:val="none" w:sz="0" w:space="0" w:color="auto"/>
          </w:divBdr>
        </w:div>
        <w:div w:id="605888347">
          <w:marLeft w:val="0"/>
          <w:marRight w:val="0"/>
          <w:marTop w:val="0"/>
          <w:marBottom w:val="0"/>
          <w:divBdr>
            <w:top w:val="none" w:sz="0" w:space="0" w:color="auto"/>
            <w:left w:val="none" w:sz="0" w:space="0" w:color="auto"/>
            <w:bottom w:val="none" w:sz="0" w:space="0" w:color="auto"/>
            <w:right w:val="none" w:sz="0" w:space="0" w:color="auto"/>
          </w:divBdr>
        </w:div>
        <w:div w:id="1897280364">
          <w:marLeft w:val="0"/>
          <w:marRight w:val="0"/>
          <w:marTop w:val="0"/>
          <w:marBottom w:val="0"/>
          <w:divBdr>
            <w:top w:val="none" w:sz="0" w:space="0" w:color="auto"/>
            <w:left w:val="none" w:sz="0" w:space="0" w:color="auto"/>
            <w:bottom w:val="none" w:sz="0" w:space="0" w:color="auto"/>
            <w:right w:val="none" w:sz="0" w:space="0" w:color="auto"/>
          </w:divBdr>
        </w:div>
        <w:div w:id="989944393">
          <w:marLeft w:val="0"/>
          <w:marRight w:val="0"/>
          <w:marTop w:val="0"/>
          <w:marBottom w:val="0"/>
          <w:divBdr>
            <w:top w:val="none" w:sz="0" w:space="0" w:color="auto"/>
            <w:left w:val="none" w:sz="0" w:space="0" w:color="auto"/>
            <w:bottom w:val="none" w:sz="0" w:space="0" w:color="auto"/>
            <w:right w:val="none" w:sz="0" w:space="0" w:color="auto"/>
          </w:divBdr>
        </w:div>
        <w:div w:id="1069159713">
          <w:marLeft w:val="0"/>
          <w:marRight w:val="0"/>
          <w:marTop w:val="0"/>
          <w:marBottom w:val="0"/>
          <w:divBdr>
            <w:top w:val="none" w:sz="0" w:space="0" w:color="auto"/>
            <w:left w:val="none" w:sz="0" w:space="0" w:color="auto"/>
            <w:bottom w:val="none" w:sz="0" w:space="0" w:color="auto"/>
            <w:right w:val="none" w:sz="0" w:space="0" w:color="auto"/>
          </w:divBdr>
        </w:div>
        <w:div w:id="364452161">
          <w:marLeft w:val="0"/>
          <w:marRight w:val="0"/>
          <w:marTop w:val="0"/>
          <w:marBottom w:val="0"/>
          <w:divBdr>
            <w:top w:val="none" w:sz="0" w:space="0" w:color="auto"/>
            <w:left w:val="none" w:sz="0" w:space="0" w:color="auto"/>
            <w:bottom w:val="none" w:sz="0" w:space="0" w:color="auto"/>
            <w:right w:val="none" w:sz="0" w:space="0" w:color="auto"/>
          </w:divBdr>
        </w:div>
        <w:div w:id="1881093766">
          <w:marLeft w:val="0"/>
          <w:marRight w:val="0"/>
          <w:marTop w:val="0"/>
          <w:marBottom w:val="0"/>
          <w:divBdr>
            <w:top w:val="none" w:sz="0" w:space="0" w:color="auto"/>
            <w:left w:val="none" w:sz="0" w:space="0" w:color="auto"/>
            <w:bottom w:val="none" w:sz="0" w:space="0" w:color="auto"/>
            <w:right w:val="none" w:sz="0" w:space="0" w:color="auto"/>
          </w:divBdr>
        </w:div>
        <w:div w:id="1499034493">
          <w:marLeft w:val="0"/>
          <w:marRight w:val="0"/>
          <w:marTop w:val="0"/>
          <w:marBottom w:val="0"/>
          <w:divBdr>
            <w:top w:val="none" w:sz="0" w:space="0" w:color="auto"/>
            <w:left w:val="none" w:sz="0" w:space="0" w:color="auto"/>
            <w:bottom w:val="none" w:sz="0" w:space="0" w:color="auto"/>
            <w:right w:val="none" w:sz="0" w:space="0" w:color="auto"/>
          </w:divBdr>
        </w:div>
        <w:div w:id="798887770">
          <w:marLeft w:val="0"/>
          <w:marRight w:val="0"/>
          <w:marTop w:val="0"/>
          <w:marBottom w:val="0"/>
          <w:divBdr>
            <w:top w:val="none" w:sz="0" w:space="0" w:color="auto"/>
            <w:left w:val="none" w:sz="0" w:space="0" w:color="auto"/>
            <w:bottom w:val="none" w:sz="0" w:space="0" w:color="auto"/>
            <w:right w:val="none" w:sz="0" w:space="0" w:color="auto"/>
          </w:divBdr>
        </w:div>
        <w:div w:id="2071491995">
          <w:marLeft w:val="0"/>
          <w:marRight w:val="0"/>
          <w:marTop w:val="0"/>
          <w:marBottom w:val="0"/>
          <w:divBdr>
            <w:top w:val="none" w:sz="0" w:space="0" w:color="auto"/>
            <w:left w:val="none" w:sz="0" w:space="0" w:color="auto"/>
            <w:bottom w:val="none" w:sz="0" w:space="0" w:color="auto"/>
            <w:right w:val="none" w:sz="0" w:space="0" w:color="auto"/>
          </w:divBdr>
        </w:div>
        <w:div w:id="1897817551">
          <w:marLeft w:val="0"/>
          <w:marRight w:val="0"/>
          <w:marTop w:val="0"/>
          <w:marBottom w:val="0"/>
          <w:divBdr>
            <w:top w:val="none" w:sz="0" w:space="0" w:color="auto"/>
            <w:left w:val="none" w:sz="0" w:space="0" w:color="auto"/>
            <w:bottom w:val="none" w:sz="0" w:space="0" w:color="auto"/>
            <w:right w:val="none" w:sz="0" w:space="0" w:color="auto"/>
          </w:divBdr>
        </w:div>
        <w:div w:id="1502818774">
          <w:marLeft w:val="0"/>
          <w:marRight w:val="0"/>
          <w:marTop w:val="0"/>
          <w:marBottom w:val="0"/>
          <w:divBdr>
            <w:top w:val="none" w:sz="0" w:space="0" w:color="auto"/>
            <w:left w:val="none" w:sz="0" w:space="0" w:color="auto"/>
            <w:bottom w:val="none" w:sz="0" w:space="0" w:color="auto"/>
            <w:right w:val="none" w:sz="0" w:space="0" w:color="auto"/>
          </w:divBdr>
        </w:div>
        <w:div w:id="1650861807">
          <w:marLeft w:val="0"/>
          <w:marRight w:val="0"/>
          <w:marTop w:val="0"/>
          <w:marBottom w:val="0"/>
          <w:divBdr>
            <w:top w:val="none" w:sz="0" w:space="0" w:color="auto"/>
            <w:left w:val="none" w:sz="0" w:space="0" w:color="auto"/>
            <w:bottom w:val="none" w:sz="0" w:space="0" w:color="auto"/>
            <w:right w:val="none" w:sz="0" w:space="0" w:color="auto"/>
          </w:divBdr>
        </w:div>
        <w:div w:id="978614247">
          <w:marLeft w:val="0"/>
          <w:marRight w:val="0"/>
          <w:marTop w:val="0"/>
          <w:marBottom w:val="0"/>
          <w:divBdr>
            <w:top w:val="none" w:sz="0" w:space="0" w:color="auto"/>
            <w:left w:val="none" w:sz="0" w:space="0" w:color="auto"/>
            <w:bottom w:val="none" w:sz="0" w:space="0" w:color="auto"/>
            <w:right w:val="none" w:sz="0" w:space="0" w:color="auto"/>
          </w:divBdr>
        </w:div>
        <w:div w:id="1973094251">
          <w:marLeft w:val="0"/>
          <w:marRight w:val="0"/>
          <w:marTop w:val="0"/>
          <w:marBottom w:val="0"/>
          <w:divBdr>
            <w:top w:val="none" w:sz="0" w:space="0" w:color="auto"/>
            <w:left w:val="none" w:sz="0" w:space="0" w:color="auto"/>
            <w:bottom w:val="none" w:sz="0" w:space="0" w:color="auto"/>
            <w:right w:val="none" w:sz="0" w:space="0" w:color="auto"/>
          </w:divBdr>
        </w:div>
        <w:div w:id="763963378">
          <w:marLeft w:val="0"/>
          <w:marRight w:val="0"/>
          <w:marTop w:val="0"/>
          <w:marBottom w:val="0"/>
          <w:divBdr>
            <w:top w:val="none" w:sz="0" w:space="0" w:color="auto"/>
            <w:left w:val="none" w:sz="0" w:space="0" w:color="auto"/>
            <w:bottom w:val="none" w:sz="0" w:space="0" w:color="auto"/>
            <w:right w:val="none" w:sz="0" w:space="0" w:color="auto"/>
          </w:divBdr>
        </w:div>
        <w:div w:id="235364990">
          <w:marLeft w:val="0"/>
          <w:marRight w:val="0"/>
          <w:marTop w:val="0"/>
          <w:marBottom w:val="0"/>
          <w:divBdr>
            <w:top w:val="none" w:sz="0" w:space="0" w:color="auto"/>
            <w:left w:val="none" w:sz="0" w:space="0" w:color="auto"/>
            <w:bottom w:val="none" w:sz="0" w:space="0" w:color="auto"/>
            <w:right w:val="none" w:sz="0" w:space="0" w:color="auto"/>
          </w:divBdr>
        </w:div>
        <w:div w:id="651645363">
          <w:marLeft w:val="0"/>
          <w:marRight w:val="0"/>
          <w:marTop w:val="0"/>
          <w:marBottom w:val="0"/>
          <w:divBdr>
            <w:top w:val="none" w:sz="0" w:space="0" w:color="auto"/>
            <w:left w:val="none" w:sz="0" w:space="0" w:color="auto"/>
            <w:bottom w:val="none" w:sz="0" w:space="0" w:color="auto"/>
            <w:right w:val="none" w:sz="0" w:space="0" w:color="auto"/>
          </w:divBdr>
        </w:div>
        <w:div w:id="1591084937">
          <w:marLeft w:val="0"/>
          <w:marRight w:val="0"/>
          <w:marTop w:val="0"/>
          <w:marBottom w:val="0"/>
          <w:divBdr>
            <w:top w:val="none" w:sz="0" w:space="0" w:color="auto"/>
            <w:left w:val="none" w:sz="0" w:space="0" w:color="auto"/>
            <w:bottom w:val="none" w:sz="0" w:space="0" w:color="auto"/>
            <w:right w:val="none" w:sz="0" w:space="0" w:color="auto"/>
          </w:divBdr>
        </w:div>
        <w:div w:id="660893195">
          <w:marLeft w:val="0"/>
          <w:marRight w:val="0"/>
          <w:marTop w:val="0"/>
          <w:marBottom w:val="0"/>
          <w:divBdr>
            <w:top w:val="none" w:sz="0" w:space="0" w:color="auto"/>
            <w:left w:val="none" w:sz="0" w:space="0" w:color="auto"/>
            <w:bottom w:val="none" w:sz="0" w:space="0" w:color="auto"/>
            <w:right w:val="none" w:sz="0" w:space="0" w:color="auto"/>
          </w:divBdr>
        </w:div>
        <w:div w:id="1172334937">
          <w:marLeft w:val="0"/>
          <w:marRight w:val="0"/>
          <w:marTop w:val="0"/>
          <w:marBottom w:val="0"/>
          <w:divBdr>
            <w:top w:val="none" w:sz="0" w:space="0" w:color="auto"/>
            <w:left w:val="none" w:sz="0" w:space="0" w:color="auto"/>
            <w:bottom w:val="none" w:sz="0" w:space="0" w:color="auto"/>
            <w:right w:val="none" w:sz="0" w:space="0" w:color="auto"/>
          </w:divBdr>
        </w:div>
        <w:div w:id="542063356">
          <w:marLeft w:val="0"/>
          <w:marRight w:val="0"/>
          <w:marTop w:val="0"/>
          <w:marBottom w:val="0"/>
          <w:divBdr>
            <w:top w:val="none" w:sz="0" w:space="0" w:color="auto"/>
            <w:left w:val="none" w:sz="0" w:space="0" w:color="auto"/>
            <w:bottom w:val="none" w:sz="0" w:space="0" w:color="auto"/>
            <w:right w:val="none" w:sz="0" w:space="0" w:color="auto"/>
          </w:divBdr>
        </w:div>
        <w:div w:id="1650016508">
          <w:marLeft w:val="0"/>
          <w:marRight w:val="0"/>
          <w:marTop w:val="0"/>
          <w:marBottom w:val="0"/>
          <w:divBdr>
            <w:top w:val="none" w:sz="0" w:space="0" w:color="auto"/>
            <w:left w:val="none" w:sz="0" w:space="0" w:color="auto"/>
            <w:bottom w:val="none" w:sz="0" w:space="0" w:color="auto"/>
            <w:right w:val="none" w:sz="0" w:space="0" w:color="auto"/>
          </w:divBdr>
        </w:div>
        <w:div w:id="517935654">
          <w:marLeft w:val="0"/>
          <w:marRight w:val="0"/>
          <w:marTop w:val="0"/>
          <w:marBottom w:val="0"/>
          <w:divBdr>
            <w:top w:val="none" w:sz="0" w:space="0" w:color="auto"/>
            <w:left w:val="none" w:sz="0" w:space="0" w:color="auto"/>
            <w:bottom w:val="none" w:sz="0" w:space="0" w:color="auto"/>
            <w:right w:val="none" w:sz="0" w:space="0" w:color="auto"/>
          </w:divBdr>
        </w:div>
        <w:div w:id="945383256">
          <w:marLeft w:val="0"/>
          <w:marRight w:val="0"/>
          <w:marTop w:val="0"/>
          <w:marBottom w:val="0"/>
          <w:divBdr>
            <w:top w:val="none" w:sz="0" w:space="0" w:color="auto"/>
            <w:left w:val="none" w:sz="0" w:space="0" w:color="auto"/>
            <w:bottom w:val="none" w:sz="0" w:space="0" w:color="auto"/>
            <w:right w:val="none" w:sz="0" w:space="0" w:color="auto"/>
          </w:divBdr>
        </w:div>
        <w:div w:id="1011373449">
          <w:marLeft w:val="0"/>
          <w:marRight w:val="0"/>
          <w:marTop w:val="0"/>
          <w:marBottom w:val="0"/>
          <w:divBdr>
            <w:top w:val="none" w:sz="0" w:space="0" w:color="auto"/>
            <w:left w:val="none" w:sz="0" w:space="0" w:color="auto"/>
            <w:bottom w:val="none" w:sz="0" w:space="0" w:color="auto"/>
            <w:right w:val="none" w:sz="0" w:space="0" w:color="auto"/>
          </w:divBdr>
        </w:div>
        <w:div w:id="2103992965">
          <w:marLeft w:val="0"/>
          <w:marRight w:val="0"/>
          <w:marTop w:val="0"/>
          <w:marBottom w:val="0"/>
          <w:divBdr>
            <w:top w:val="none" w:sz="0" w:space="0" w:color="auto"/>
            <w:left w:val="none" w:sz="0" w:space="0" w:color="auto"/>
            <w:bottom w:val="none" w:sz="0" w:space="0" w:color="auto"/>
            <w:right w:val="none" w:sz="0" w:space="0" w:color="auto"/>
          </w:divBdr>
        </w:div>
        <w:div w:id="465859779">
          <w:marLeft w:val="0"/>
          <w:marRight w:val="0"/>
          <w:marTop w:val="0"/>
          <w:marBottom w:val="0"/>
          <w:divBdr>
            <w:top w:val="none" w:sz="0" w:space="0" w:color="auto"/>
            <w:left w:val="none" w:sz="0" w:space="0" w:color="auto"/>
            <w:bottom w:val="none" w:sz="0" w:space="0" w:color="auto"/>
            <w:right w:val="none" w:sz="0" w:space="0" w:color="auto"/>
          </w:divBdr>
        </w:div>
        <w:div w:id="148595099">
          <w:marLeft w:val="0"/>
          <w:marRight w:val="0"/>
          <w:marTop w:val="0"/>
          <w:marBottom w:val="0"/>
          <w:divBdr>
            <w:top w:val="none" w:sz="0" w:space="0" w:color="auto"/>
            <w:left w:val="none" w:sz="0" w:space="0" w:color="auto"/>
            <w:bottom w:val="none" w:sz="0" w:space="0" w:color="auto"/>
            <w:right w:val="none" w:sz="0" w:space="0" w:color="auto"/>
          </w:divBdr>
        </w:div>
        <w:div w:id="166947614">
          <w:marLeft w:val="0"/>
          <w:marRight w:val="0"/>
          <w:marTop w:val="0"/>
          <w:marBottom w:val="0"/>
          <w:divBdr>
            <w:top w:val="none" w:sz="0" w:space="0" w:color="auto"/>
            <w:left w:val="none" w:sz="0" w:space="0" w:color="auto"/>
            <w:bottom w:val="none" w:sz="0" w:space="0" w:color="auto"/>
            <w:right w:val="none" w:sz="0" w:space="0" w:color="auto"/>
          </w:divBdr>
        </w:div>
      </w:divsChild>
    </w:div>
    <w:div w:id="2110078562">
      <w:bodyDiv w:val="1"/>
      <w:marLeft w:val="0"/>
      <w:marRight w:val="0"/>
      <w:marTop w:val="0"/>
      <w:marBottom w:val="0"/>
      <w:divBdr>
        <w:top w:val="none" w:sz="0" w:space="0" w:color="auto"/>
        <w:left w:val="none" w:sz="0" w:space="0" w:color="auto"/>
        <w:bottom w:val="none" w:sz="0" w:space="0" w:color="auto"/>
        <w:right w:val="none" w:sz="0" w:space="0" w:color="auto"/>
      </w:divBdr>
      <w:divsChild>
        <w:div w:id="1425807007">
          <w:marLeft w:val="0"/>
          <w:marRight w:val="0"/>
          <w:marTop w:val="0"/>
          <w:marBottom w:val="0"/>
          <w:divBdr>
            <w:top w:val="none" w:sz="0" w:space="0" w:color="auto"/>
            <w:left w:val="none" w:sz="0" w:space="0" w:color="auto"/>
            <w:bottom w:val="none" w:sz="0" w:space="0" w:color="auto"/>
            <w:right w:val="none" w:sz="0" w:space="0" w:color="auto"/>
          </w:divBdr>
        </w:div>
        <w:div w:id="1510212696">
          <w:marLeft w:val="0"/>
          <w:marRight w:val="0"/>
          <w:marTop w:val="0"/>
          <w:marBottom w:val="0"/>
          <w:divBdr>
            <w:top w:val="none" w:sz="0" w:space="0" w:color="auto"/>
            <w:left w:val="none" w:sz="0" w:space="0" w:color="auto"/>
            <w:bottom w:val="none" w:sz="0" w:space="0" w:color="auto"/>
            <w:right w:val="none" w:sz="0" w:space="0" w:color="auto"/>
          </w:divBdr>
        </w:div>
        <w:div w:id="1063597947">
          <w:marLeft w:val="0"/>
          <w:marRight w:val="0"/>
          <w:marTop w:val="0"/>
          <w:marBottom w:val="0"/>
          <w:divBdr>
            <w:top w:val="none" w:sz="0" w:space="0" w:color="auto"/>
            <w:left w:val="none" w:sz="0" w:space="0" w:color="auto"/>
            <w:bottom w:val="none" w:sz="0" w:space="0" w:color="auto"/>
            <w:right w:val="none" w:sz="0" w:space="0" w:color="auto"/>
          </w:divBdr>
        </w:div>
        <w:div w:id="11419050">
          <w:marLeft w:val="0"/>
          <w:marRight w:val="0"/>
          <w:marTop w:val="0"/>
          <w:marBottom w:val="0"/>
          <w:divBdr>
            <w:top w:val="none" w:sz="0" w:space="0" w:color="auto"/>
            <w:left w:val="none" w:sz="0" w:space="0" w:color="auto"/>
            <w:bottom w:val="none" w:sz="0" w:space="0" w:color="auto"/>
            <w:right w:val="none" w:sz="0" w:space="0" w:color="auto"/>
          </w:divBdr>
        </w:div>
        <w:div w:id="1199778854">
          <w:marLeft w:val="0"/>
          <w:marRight w:val="0"/>
          <w:marTop w:val="0"/>
          <w:marBottom w:val="0"/>
          <w:divBdr>
            <w:top w:val="none" w:sz="0" w:space="0" w:color="auto"/>
            <w:left w:val="none" w:sz="0" w:space="0" w:color="auto"/>
            <w:bottom w:val="none" w:sz="0" w:space="0" w:color="auto"/>
            <w:right w:val="none" w:sz="0" w:space="0" w:color="auto"/>
          </w:divBdr>
        </w:div>
        <w:div w:id="1314141734">
          <w:marLeft w:val="0"/>
          <w:marRight w:val="0"/>
          <w:marTop w:val="0"/>
          <w:marBottom w:val="0"/>
          <w:divBdr>
            <w:top w:val="none" w:sz="0" w:space="0" w:color="auto"/>
            <w:left w:val="none" w:sz="0" w:space="0" w:color="auto"/>
            <w:bottom w:val="none" w:sz="0" w:space="0" w:color="auto"/>
            <w:right w:val="none" w:sz="0" w:space="0" w:color="auto"/>
          </w:divBdr>
        </w:div>
        <w:div w:id="1807242005">
          <w:marLeft w:val="0"/>
          <w:marRight w:val="0"/>
          <w:marTop w:val="0"/>
          <w:marBottom w:val="0"/>
          <w:divBdr>
            <w:top w:val="none" w:sz="0" w:space="0" w:color="auto"/>
            <w:left w:val="none" w:sz="0" w:space="0" w:color="auto"/>
            <w:bottom w:val="none" w:sz="0" w:space="0" w:color="auto"/>
            <w:right w:val="none" w:sz="0" w:space="0" w:color="auto"/>
          </w:divBdr>
        </w:div>
        <w:div w:id="1987203626">
          <w:marLeft w:val="0"/>
          <w:marRight w:val="0"/>
          <w:marTop w:val="0"/>
          <w:marBottom w:val="0"/>
          <w:divBdr>
            <w:top w:val="none" w:sz="0" w:space="0" w:color="auto"/>
            <w:left w:val="none" w:sz="0" w:space="0" w:color="auto"/>
            <w:bottom w:val="none" w:sz="0" w:space="0" w:color="auto"/>
            <w:right w:val="none" w:sz="0" w:space="0" w:color="auto"/>
          </w:divBdr>
        </w:div>
        <w:div w:id="1006588774">
          <w:marLeft w:val="0"/>
          <w:marRight w:val="0"/>
          <w:marTop w:val="0"/>
          <w:marBottom w:val="0"/>
          <w:divBdr>
            <w:top w:val="none" w:sz="0" w:space="0" w:color="auto"/>
            <w:left w:val="none" w:sz="0" w:space="0" w:color="auto"/>
            <w:bottom w:val="none" w:sz="0" w:space="0" w:color="auto"/>
            <w:right w:val="none" w:sz="0" w:space="0" w:color="auto"/>
          </w:divBdr>
        </w:div>
        <w:div w:id="246161456">
          <w:marLeft w:val="0"/>
          <w:marRight w:val="0"/>
          <w:marTop w:val="0"/>
          <w:marBottom w:val="0"/>
          <w:divBdr>
            <w:top w:val="none" w:sz="0" w:space="0" w:color="auto"/>
            <w:left w:val="none" w:sz="0" w:space="0" w:color="auto"/>
            <w:bottom w:val="none" w:sz="0" w:space="0" w:color="auto"/>
            <w:right w:val="none" w:sz="0" w:space="0" w:color="auto"/>
          </w:divBdr>
        </w:div>
        <w:div w:id="1948853636">
          <w:marLeft w:val="0"/>
          <w:marRight w:val="0"/>
          <w:marTop w:val="0"/>
          <w:marBottom w:val="0"/>
          <w:divBdr>
            <w:top w:val="none" w:sz="0" w:space="0" w:color="auto"/>
            <w:left w:val="none" w:sz="0" w:space="0" w:color="auto"/>
            <w:bottom w:val="none" w:sz="0" w:space="0" w:color="auto"/>
            <w:right w:val="none" w:sz="0" w:space="0" w:color="auto"/>
          </w:divBdr>
        </w:div>
        <w:div w:id="1285770011">
          <w:marLeft w:val="0"/>
          <w:marRight w:val="0"/>
          <w:marTop w:val="0"/>
          <w:marBottom w:val="0"/>
          <w:divBdr>
            <w:top w:val="none" w:sz="0" w:space="0" w:color="auto"/>
            <w:left w:val="none" w:sz="0" w:space="0" w:color="auto"/>
            <w:bottom w:val="none" w:sz="0" w:space="0" w:color="auto"/>
            <w:right w:val="none" w:sz="0" w:space="0" w:color="auto"/>
          </w:divBdr>
        </w:div>
        <w:div w:id="1446728151">
          <w:marLeft w:val="0"/>
          <w:marRight w:val="0"/>
          <w:marTop w:val="0"/>
          <w:marBottom w:val="0"/>
          <w:divBdr>
            <w:top w:val="none" w:sz="0" w:space="0" w:color="auto"/>
            <w:left w:val="none" w:sz="0" w:space="0" w:color="auto"/>
            <w:bottom w:val="none" w:sz="0" w:space="0" w:color="auto"/>
            <w:right w:val="none" w:sz="0" w:space="0" w:color="auto"/>
          </w:divBdr>
        </w:div>
        <w:div w:id="1120997619">
          <w:marLeft w:val="0"/>
          <w:marRight w:val="0"/>
          <w:marTop w:val="0"/>
          <w:marBottom w:val="0"/>
          <w:divBdr>
            <w:top w:val="none" w:sz="0" w:space="0" w:color="auto"/>
            <w:left w:val="none" w:sz="0" w:space="0" w:color="auto"/>
            <w:bottom w:val="none" w:sz="0" w:space="0" w:color="auto"/>
            <w:right w:val="none" w:sz="0" w:space="0" w:color="auto"/>
          </w:divBdr>
        </w:div>
        <w:div w:id="995063638">
          <w:marLeft w:val="0"/>
          <w:marRight w:val="0"/>
          <w:marTop w:val="0"/>
          <w:marBottom w:val="0"/>
          <w:divBdr>
            <w:top w:val="none" w:sz="0" w:space="0" w:color="auto"/>
            <w:left w:val="none" w:sz="0" w:space="0" w:color="auto"/>
            <w:bottom w:val="none" w:sz="0" w:space="0" w:color="auto"/>
            <w:right w:val="none" w:sz="0" w:space="0" w:color="auto"/>
          </w:divBdr>
        </w:div>
        <w:div w:id="1090853823">
          <w:marLeft w:val="0"/>
          <w:marRight w:val="0"/>
          <w:marTop w:val="0"/>
          <w:marBottom w:val="0"/>
          <w:divBdr>
            <w:top w:val="none" w:sz="0" w:space="0" w:color="auto"/>
            <w:left w:val="none" w:sz="0" w:space="0" w:color="auto"/>
            <w:bottom w:val="none" w:sz="0" w:space="0" w:color="auto"/>
            <w:right w:val="none" w:sz="0" w:space="0" w:color="auto"/>
          </w:divBdr>
        </w:div>
        <w:div w:id="1971278814">
          <w:marLeft w:val="0"/>
          <w:marRight w:val="0"/>
          <w:marTop w:val="0"/>
          <w:marBottom w:val="0"/>
          <w:divBdr>
            <w:top w:val="none" w:sz="0" w:space="0" w:color="auto"/>
            <w:left w:val="none" w:sz="0" w:space="0" w:color="auto"/>
            <w:bottom w:val="none" w:sz="0" w:space="0" w:color="auto"/>
            <w:right w:val="none" w:sz="0" w:space="0" w:color="auto"/>
          </w:divBdr>
        </w:div>
        <w:div w:id="304699218">
          <w:marLeft w:val="0"/>
          <w:marRight w:val="0"/>
          <w:marTop w:val="0"/>
          <w:marBottom w:val="0"/>
          <w:divBdr>
            <w:top w:val="none" w:sz="0" w:space="0" w:color="auto"/>
            <w:left w:val="none" w:sz="0" w:space="0" w:color="auto"/>
            <w:bottom w:val="none" w:sz="0" w:space="0" w:color="auto"/>
            <w:right w:val="none" w:sz="0" w:space="0" w:color="auto"/>
          </w:divBdr>
        </w:div>
        <w:div w:id="120150116">
          <w:marLeft w:val="0"/>
          <w:marRight w:val="0"/>
          <w:marTop w:val="0"/>
          <w:marBottom w:val="0"/>
          <w:divBdr>
            <w:top w:val="none" w:sz="0" w:space="0" w:color="auto"/>
            <w:left w:val="none" w:sz="0" w:space="0" w:color="auto"/>
            <w:bottom w:val="none" w:sz="0" w:space="0" w:color="auto"/>
            <w:right w:val="none" w:sz="0" w:space="0" w:color="auto"/>
          </w:divBdr>
        </w:div>
        <w:div w:id="575089785">
          <w:marLeft w:val="0"/>
          <w:marRight w:val="0"/>
          <w:marTop w:val="0"/>
          <w:marBottom w:val="0"/>
          <w:divBdr>
            <w:top w:val="none" w:sz="0" w:space="0" w:color="auto"/>
            <w:left w:val="none" w:sz="0" w:space="0" w:color="auto"/>
            <w:bottom w:val="none" w:sz="0" w:space="0" w:color="auto"/>
            <w:right w:val="none" w:sz="0" w:space="0" w:color="auto"/>
          </w:divBdr>
        </w:div>
        <w:div w:id="1030029367">
          <w:marLeft w:val="0"/>
          <w:marRight w:val="0"/>
          <w:marTop w:val="0"/>
          <w:marBottom w:val="0"/>
          <w:divBdr>
            <w:top w:val="none" w:sz="0" w:space="0" w:color="auto"/>
            <w:left w:val="none" w:sz="0" w:space="0" w:color="auto"/>
            <w:bottom w:val="none" w:sz="0" w:space="0" w:color="auto"/>
            <w:right w:val="none" w:sz="0" w:space="0" w:color="auto"/>
          </w:divBdr>
        </w:div>
        <w:div w:id="1283922870">
          <w:marLeft w:val="0"/>
          <w:marRight w:val="0"/>
          <w:marTop w:val="0"/>
          <w:marBottom w:val="0"/>
          <w:divBdr>
            <w:top w:val="none" w:sz="0" w:space="0" w:color="auto"/>
            <w:left w:val="none" w:sz="0" w:space="0" w:color="auto"/>
            <w:bottom w:val="none" w:sz="0" w:space="0" w:color="auto"/>
            <w:right w:val="none" w:sz="0" w:space="0" w:color="auto"/>
          </w:divBdr>
        </w:div>
        <w:div w:id="744690136">
          <w:marLeft w:val="0"/>
          <w:marRight w:val="0"/>
          <w:marTop w:val="0"/>
          <w:marBottom w:val="0"/>
          <w:divBdr>
            <w:top w:val="none" w:sz="0" w:space="0" w:color="auto"/>
            <w:left w:val="none" w:sz="0" w:space="0" w:color="auto"/>
            <w:bottom w:val="none" w:sz="0" w:space="0" w:color="auto"/>
            <w:right w:val="none" w:sz="0" w:space="0" w:color="auto"/>
          </w:divBdr>
        </w:div>
        <w:div w:id="465665534">
          <w:marLeft w:val="0"/>
          <w:marRight w:val="0"/>
          <w:marTop w:val="0"/>
          <w:marBottom w:val="0"/>
          <w:divBdr>
            <w:top w:val="none" w:sz="0" w:space="0" w:color="auto"/>
            <w:left w:val="none" w:sz="0" w:space="0" w:color="auto"/>
            <w:bottom w:val="none" w:sz="0" w:space="0" w:color="auto"/>
            <w:right w:val="none" w:sz="0" w:space="0" w:color="auto"/>
          </w:divBdr>
        </w:div>
        <w:div w:id="607396164">
          <w:marLeft w:val="0"/>
          <w:marRight w:val="0"/>
          <w:marTop w:val="0"/>
          <w:marBottom w:val="0"/>
          <w:divBdr>
            <w:top w:val="none" w:sz="0" w:space="0" w:color="auto"/>
            <w:left w:val="none" w:sz="0" w:space="0" w:color="auto"/>
            <w:bottom w:val="none" w:sz="0" w:space="0" w:color="auto"/>
            <w:right w:val="none" w:sz="0" w:space="0" w:color="auto"/>
          </w:divBdr>
        </w:div>
        <w:div w:id="1331904414">
          <w:marLeft w:val="0"/>
          <w:marRight w:val="0"/>
          <w:marTop w:val="0"/>
          <w:marBottom w:val="0"/>
          <w:divBdr>
            <w:top w:val="none" w:sz="0" w:space="0" w:color="auto"/>
            <w:left w:val="none" w:sz="0" w:space="0" w:color="auto"/>
            <w:bottom w:val="none" w:sz="0" w:space="0" w:color="auto"/>
            <w:right w:val="none" w:sz="0" w:space="0" w:color="auto"/>
          </w:divBdr>
        </w:div>
        <w:div w:id="893662357">
          <w:marLeft w:val="0"/>
          <w:marRight w:val="0"/>
          <w:marTop w:val="0"/>
          <w:marBottom w:val="0"/>
          <w:divBdr>
            <w:top w:val="none" w:sz="0" w:space="0" w:color="auto"/>
            <w:left w:val="none" w:sz="0" w:space="0" w:color="auto"/>
            <w:bottom w:val="none" w:sz="0" w:space="0" w:color="auto"/>
            <w:right w:val="none" w:sz="0" w:space="0" w:color="auto"/>
          </w:divBdr>
        </w:div>
        <w:div w:id="1247305071">
          <w:marLeft w:val="0"/>
          <w:marRight w:val="0"/>
          <w:marTop w:val="0"/>
          <w:marBottom w:val="0"/>
          <w:divBdr>
            <w:top w:val="none" w:sz="0" w:space="0" w:color="auto"/>
            <w:left w:val="none" w:sz="0" w:space="0" w:color="auto"/>
            <w:bottom w:val="none" w:sz="0" w:space="0" w:color="auto"/>
            <w:right w:val="none" w:sz="0" w:space="0" w:color="auto"/>
          </w:divBdr>
        </w:div>
        <w:div w:id="2100635331">
          <w:marLeft w:val="0"/>
          <w:marRight w:val="0"/>
          <w:marTop w:val="0"/>
          <w:marBottom w:val="0"/>
          <w:divBdr>
            <w:top w:val="none" w:sz="0" w:space="0" w:color="auto"/>
            <w:left w:val="none" w:sz="0" w:space="0" w:color="auto"/>
            <w:bottom w:val="none" w:sz="0" w:space="0" w:color="auto"/>
            <w:right w:val="none" w:sz="0" w:space="0" w:color="auto"/>
          </w:divBdr>
        </w:div>
        <w:div w:id="680426829">
          <w:marLeft w:val="0"/>
          <w:marRight w:val="0"/>
          <w:marTop w:val="0"/>
          <w:marBottom w:val="0"/>
          <w:divBdr>
            <w:top w:val="none" w:sz="0" w:space="0" w:color="auto"/>
            <w:left w:val="none" w:sz="0" w:space="0" w:color="auto"/>
            <w:bottom w:val="none" w:sz="0" w:space="0" w:color="auto"/>
            <w:right w:val="none" w:sz="0" w:space="0" w:color="auto"/>
          </w:divBdr>
        </w:div>
        <w:div w:id="701901802">
          <w:marLeft w:val="0"/>
          <w:marRight w:val="0"/>
          <w:marTop w:val="0"/>
          <w:marBottom w:val="0"/>
          <w:divBdr>
            <w:top w:val="none" w:sz="0" w:space="0" w:color="auto"/>
            <w:left w:val="none" w:sz="0" w:space="0" w:color="auto"/>
            <w:bottom w:val="none" w:sz="0" w:space="0" w:color="auto"/>
            <w:right w:val="none" w:sz="0" w:space="0" w:color="auto"/>
          </w:divBdr>
        </w:div>
        <w:div w:id="1002665353">
          <w:marLeft w:val="0"/>
          <w:marRight w:val="0"/>
          <w:marTop w:val="0"/>
          <w:marBottom w:val="0"/>
          <w:divBdr>
            <w:top w:val="none" w:sz="0" w:space="0" w:color="auto"/>
            <w:left w:val="none" w:sz="0" w:space="0" w:color="auto"/>
            <w:bottom w:val="none" w:sz="0" w:space="0" w:color="auto"/>
            <w:right w:val="none" w:sz="0" w:space="0" w:color="auto"/>
          </w:divBdr>
        </w:div>
        <w:div w:id="105586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nersinsalford.org/ss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C:\Users\emma.james.COS.000\AppData\Local\Microsoft\Windows\INetCache\Content.Outlook\CH8QTYU8\Little%20Hulton%20Big%20Local%20Community%20Plan%202017%20-2020.pdf" TargetMode="External"/><Relationship Id="rId1" Type="http://schemas.openxmlformats.org/officeDocument/2006/relationships/hyperlink" Target="https://www.partnersinsalford.org/media/1232/employment_skills_strategy_201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4911-4909-40E4-9517-C13C11EF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3488</Words>
  <Characters>19885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Purchase Order</vt:lpstr>
    </vt:vector>
  </TitlesOfParts>
  <Company>CHAP Limited</Company>
  <LinksUpToDate>false</LinksUpToDate>
  <CharactersWithSpaces>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creator>RoseOhara</dc:creator>
  <cp:lastModifiedBy>James, Emma (Skills and Work)</cp:lastModifiedBy>
  <cp:revision>2</cp:revision>
  <cp:lastPrinted>2018-09-03T09:51:00Z</cp:lastPrinted>
  <dcterms:created xsi:type="dcterms:W3CDTF">2018-11-02T15:08:00Z</dcterms:created>
  <dcterms:modified xsi:type="dcterms:W3CDTF">2018-11-02T15:08:00Z</dcterms:modified>
</cp:coreProperties>
</file>